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271"/>
        </w:tabs>
        <w:kinsoku w:val="0"/>
        <w:overflowPunct w:val="0"/>
        <w:autoSpaceDE w:val="0"/>
        <w:autoSpaceDN w:val="0"/>
        <w:adjustRightInd w:val="0"/>
        <w:spacing w:before="1"/>
        <w:ind w:right="182" w:firstLine="2808" w:firstLineChars="900"/>
        <w:rPr>
          <w:spacing w:val="-4"/>
          <w:sz w:val="32"/>
          <w:szCs w:val="32"/>
        </w:rPr>
      </w:pPr>
      <w:r>
        <w:rPr>
          <w:rFonts w:hint="eastAsia"/>
          <w:spacing w:val="-4"/>
          <w:sz w:val="32"/>
          <w:szCs w:val="32"/>
        </w:rPr>
        <w:t>第五章工程量清单</w:t>
      </w:r>
    </w:p>
    <w:p>
      <w:pPr>
        <w:pStyle w:val="2"/>
        <w:kinsoku w:val="0"/>
        <w:overflowPunct w:val="0"/>
        <w:autoSpaceDE w:val="0"/>
        <w:autoSpaceDN w:val="0"/>
        <w:adjustRightInd w:val="0"/>
        <w:spacing w:before="16" w:line="360" w:lineRule="auto"/>
        <w:ind w:left="175" w:right="329"/>
        <w:rPr>
          <w:rFonts w:cs="宋体"/>
          <w:sz w:val="24"/>
        </w:rPr>
      </w:pPr>
      <w:r>
        <w:rPr>
          <w:rFonts w:hint="eastAsia" w:cs="宋体"/>
          <w:w w:val="110"/>
          <w:sz w:val="24"/>
        </w:rPr>
        <w:t>1.工程量清单说明</w:t>
      </w:r>
    </w:p>
    <w:p>
      <w:pPr>
        <w:pStyle w:val="2"/>
        <w:kinsoku w:val="0"/>
        <w:overflowPunct w:val="0"/>
        <w:autoSpaceDE w:val="0"/>
        <w:autoSpaceDN w:val="0"/>
        <w:adjustRightInd w:val="0"/>
        <w:spacing w:line="360" w:lineRule="auto"/>
        <w:ind w:right="334" w:firstLine="504" w:firstLineChars="200"/>
        <w:rPr>
          <w:rFonts w:cs="宋体"/>
          <w:sz w:val="24"/>
        </w:rPr>
      </w:pPr>
      <w:r>
        <w:rPr>
          <w:rFonts w:hint="eastAsia" w:cs="宋体"/>
          <w:w w:val="105"/>
          <w:sz w:val="24"/>
        </w:rPr>
        <w:t>1.1本工程量清单是根据招标文件中包括的有合同约束力的工程量清单计量规</w:t>
      </w:r>
      <w:r>
        <w:rPr>
          <w:rFonts w:hint="eastAsia" w:cs="宋体"/>
          <w:spacing w:val="-1"/>
          <w:w w:val="105"/>
          <w:sz w:val="24"/>
        </w:rPr>
        <w:t>则、图纸以及有关工程量清单的国家标准</w:t>
      </w:r>
      <w:r>
        <w:rPr>
          <w:rFonts w:hint="eastAsia" w:cs="宋体"/>
          <w:spacing w:val="-4"/>
          <w:w w:val="105"/>
          <w:sz w:val="24"/>
        </w:rPr>
        <w:t>、行业标准、合同条款中约定的其他规则</w:t>
      </w:r>
      <w:r>
        <w:rPr>
          <w:rFonts w:hint="eastAsia" w:cs="宋体"/>
          <w:spacing w:val="-3"/>
          <w:w w:val="105"/>
          <w:sz w:val="24"/>
        </w:rPr>
        <w:t>编制。约定计量规则中没有的子目，其工程量按照有合同约束力的</w:t>
      </w:r>
      <w:r>
        <w:rPr>
          <w:rFonts w:hint="eastAsia" w:cs="宋体"/>
          <w:spacing w:val="-4"/>
          <w:w w:val="105"/>
          <w:sz w:val="24"/>
        </w:rPr>
        <w:t>图纸所标示尺寸</w:t>
      </w:r>
      <w:r>
        <w:rPr>
          <w:rFonts w:hint="eastAsia" w:cs="宋体"/>
          <w:w w:val="105"/>
          <w:sz w:val="24"/>
        </w:rPr>
        <w:t>的理论净量计算</w:t>
      </w:r>
      <w:r>
        <w:rPr>
          <w:rFonts w:hint="eastAsia" w:cs="宋体"/>
          <w:spacing w:val="-5"/>
          <w:w w:val="105"/>
          <w:sz w:val="24"/>
        </w:rPr>
        <w:t>。计量采用中华人民共和国法定计量单位</w:t>
      </w:r>
      <w:r>
        <w:rPr>
          <w:rFonts w:hint="eastAsia" w:cs="宋体"/>
          <w:w w:val="105"/>
          <w:sz w:val="24"/>
        </w:rPr>
        <w:t>。</w:t>
      </w:r>
    </w:p>
    <w:p>
      <w:pPr>
        <w:pStyle w:val="2"/>
        <w:kinsoku w:val="0"/>
        <w:overflowPunct w:val="0"/>
        <w:autoSpaceDE w:val="0"/>
        <w:autoSpaceDN w:val="0"/>
        <w:adjustRightInd w:val="0"/>
        <w:spacing w:before="33" w:line="360" w:lineRule="auto"/>
        <w:ind w:right="319" w:firstLine="566"/>
        <w:rPr>
          <w:rFonts w:cs="宋体"/>
          <w:sz w:val="24"/>
        </w:rPr>
      </w:pPr>
      <w:r>
        <w:rPr>
          <w:rFonts w:hint="eastAsia" w:cs="宋体"/>
          <w:spacing w:val="-8"/>
          <w:w w:val="105"/>
          <w:sz w:val="24"/>
        </w:rPr>
        <w:t xml:space="preserve">1.2 </w:t>
      </w:r>
      <w:r>
        <w:rPr>
          <w:rFonts w:hint="eastAsia" w:cs="宋体"/>
          <w:w w:val="105"/>
          <w:sz w:val="24"/>
        </w:rPr>
        <w:t>本工程量清单应与招标文件中的投标人须</w:t>
      </w:r>
      <w:r>
        <w:rPr>
          <w:rFonts w:hint="eastAsia" w:cs="宋体"/>
          <w:spacing w:val="-6"/>
          <w:w w:val="105"/>
          <w:sz w:val="24"/>
        </w:rPr>
        <w:t>知、通用合同条款</w:t>
      </w:r>
      <w:r>
        <w:rPr>
          <w:rFonts w:hint="eastAsia" w:cs="宋体"/>
          <w:spacing w:val="-9"/>
          <w:w w:val="105"/>
          <w:sz w:val="24"/>
        </w:rPr>
        <w:t>、专用合同条</w:t>
      </w:r>
      <w:r>
        <w:rPr>
          <w:rFonts w:hint="eastAsia" w:cs="宋体"/>
          <w:spacing w:val="-3"/>
          <w:w w:val="105"/>
          <w:sz w:val="24"/>
        </w:rPr>
        <w:t>款、工程量清单计量规则</w:t>
      </w:r>
      <w:r>
        <w:rPr>
          <w:rFonts w:hint="eastAsia" w:cs="宋体"/>
          <w:spacing w:val="-5"/>
          <w:w w:val="105"/>
          <w:sz w:val="24"/>
        </w:rPr>
        <w:t>、技术规范及图纸等</w:t>
      </w:r>
      <w:r>
        <w:rPr>
          <w:rFonts w:hint="eastAsia" w:cs="宋体"/>
          <w:w w:val="105"/>
          <w:sz w:val="24"/>
        </w:rPr>
        <w:t>一起阅读和理解。</w:t>
      </w:r>
    </w:p>
    <w:p>
      <w:pPr>
        <w:pStyle w:val="2"/>
        <w:kinsoku w:val="0"/>
        <w:overflowPunct w:val="0"/>
        <w:autoSpaceDE w:val="0"/>
        <w:autoSpaceDN w:val="0"/>
        <w:adjustRightInd w:val="0"/>
        <w:spacing w:before="40" w:line="360" w:lineRule="auto"/>
        <w:ind w:right="94" w:firstLine="566"/>
        <w:rPr>
          <w:rFonts w:cs="宋体"/>
          <w:spacing w:val="-21"/>
          <w:w w:val="108"/>
          <w:sz w:val="24"/>
        </w:rPr>
      </w:pPr>
      <w:r>
        <w:rPr>
          <w:rFonts w:hint="eastAsia" w:cs="宋体"/>
          <w:w w:val="105"/>
          <w:sz w:val="24"/>
        </w:rPr>
        <w:t>1.3 本工程量清单中所列工程数量是估算的或设计的预计数量</w:t>
      </w:r>
      <w:r>
        <w:rPr>
          <w:rFonts w:hint="eastAsia" w:cs="宋体"/>
          <w:spacing w:val="-9"/>
          <w:w w:val="105"/>
          <w:sz w:val="24"/>
        </w:rPr>
        <w:t>，仅作为投标报</w:t>
      </w:r>
      <w:r>
        <w:rPr>
          <w:rFonts w:hint="eastAsia" w:cs="宋体"/>
          <w:spacing w:val="6"/>
          <w:w w:val="110"/>
          <w:sz w:val="24"/>
        </w:rPr>
        <w:t>价</w:t>
      </w:r>
      <w:r>
        <w:rPr>
          <w:rFonts w:hint="eastAsia" w:cs="宋体"/>
          <w:w w:val="105"/>
          <w:sz w:val="24"/>
        </w:rPr>
        <w:t>的共同基础，不能</w:t>
      </w:r>
      <w:r>
        <w:rPr>
          <w:rFonts w:hint="eastAsia" w:cs="宋体"/>
          <w:w w:val="103"/>
          <w:sz w:val="24"/>
        </w:rPr>
        <w:t>作为最终结算与支</w:t>
      </w:r>
      <w:r>
        <w:rPr>
          <w:rFonts w:hint="eastAsia" w:cs="宋体"/>
          <w:spacing w:val="15"/>
          <w:w w:val="104"/>
          <w:sz w:val="24"/>
        </w:rPr>
        <w:t>付</w:t>
      </w:r>
      <w:r>
        <w:rPr>
          <w:rFonts w:hint="eastAsia" w:cs="宋体"/>
          <w:w w:val="104"/>
          <w:sz w:val="24"/>
        </w:rPr>
        <w:t>的依</w:t>
      </w:r>
      <w:r>
        <w:rPr>
          <w:rFonts w:hint="eastAsia" w:cs="宋体"/>
          <w:spacing w:val="7"/>
          <w:w w:val="104"/>
          <w:sz w:val="24"/>
        </w:rPr>
        <w:t>据</w:t>
      </w:r>
      <w:r>
        <w:rPr>
          <w:rFonts w:hint="eastAsia" w:cs="宋体"/>
          <w:w w:val="106"/>
          <w:sz w:val="24"/>
        </w:rPr>
        <w:t>。实际支付应按</w:t>
      </w:r>
      <w:r>
        <w:rPr>
          <w:rFonts w:hint="eastAsia" w:cs="宋体"/>
          <w:w w:val="105"/>
          <w:sz w:val="24"/>
        </w:rPr>
        <w:t>实际完成的工程量， 由承包人按工程量清单计量规则规定的计量方法</w:t>
      </w:r>
      <w:r>
        <w:rPr>
          <w:rFonts w:hint="eastAsia" w:cs="宋体"/>
          <w:spacing w:val="-11"/>
          <w:w w:val="105"/>
          <w:sz w:val="24"/>
        </w:rPr>
        <w:t>，以监理人</w:t>
      </w:r>
      <w:r>
        <w:rPr>
          <w:rFonts w:hint="eastAsia" w:cs="宋体"/>
          <w:w w:val="105"/>
          <w:sz w:val="24"/>
        </w:rPr>
        <w:t>认可的尺寸、断面计量，按</w:t>
      </w:r>
      <w:r>
        <w:rPr>
          <w:rFonts w:hint="eastAsia" w:cs="宋体"/>
          <w:w w:val="102"/>
          <w:sz w:val="24"/>
        </w:rPr>
        <w:t>本工程量清单的单价和总额价计算支付金额</w:t>
      </w:r>
      <w:r>
        <w:rPr>
          <w:rFonts w:hint="eastAsia" w:cs="宋体"/>
          <w:spacing w:val="-19"/>
          <w:w w:val="108"/>
          <w:sz w:val="24"/>
        </w:rPr>
        <w:t>；或根据具体情况</w:t>
      </w:r>
      <w:r>
        <w:rPr>
          <w:rFonts w:hint="eastAsia" w:cs="宋体"/>
          <w:spacing w:val="-21"/>
          <w:w w:val="108"/>
          <w:sz w:val="24"/>
        </w:rPr>
        <w:t>，按合同条款第</w:t>
      </w:r>
      <w:r>
        <w:rPr>
          <w:rFonts w:hint="eastAsia" w:cs="宋体"/>
          <w:w w:val="105"/>
          <w:sz w:val="24"/>
        </w:rPr>
        <w:t>15.4款的规定</w:t>
      </w:r>
      <w:r>
        <w:rPr>
          <w:rFonts w:hint="eastAsia" w:cs="宋体"/>
          <w:spacing w:val="-4"/>
          <w:w w:val="105"/>
          <w:sz w:val="24"/>
        </w:rPr>
        <w:t>，按监理人确定的单价或总额价计算支付额</w:t>
      </w:r>
      <w:r>
        <w:rPr>
          <w:rFonts w:hint="eastAsia" w:cs="宋体"/>
          <w:w w:val="105"/>
          <w:sz w:val="24"/>
        </w:rPr>
        <w:t>。</w:t>
      </w:r>
    </w:p>
    <w:p>
      <w:pPr>
        <w:pStyle w:val="2"/>
        <w:kinsoku w:val="0"/>
        <w:overflowPunct w:val="0"/>
        <w:autoSpaceDE w:val="0"/>
        <w:autoSpaceDN w:val="0"/>
        <w:adjustRightInd w:val="0"/>
        <w:spacing w:before="35" w:line="360" w:lineRule="auto"/>
        <w:ind w:right="103" w:firstLine="566"/>
        <w:rPr>
          <w:rFonts w:cs="宋体"/>
          <w:w w:val="102"/>
          <w:sz w:val="24"/>
        </w:rPr>
      </w:pPr>
      <w:r>
        <w:rPr>
          <w:rFonts w:hint="eastAsia" w:cs="宋体"/>
          <w:spacing w:val="-21"/>
          <w:w w:val="108"/>
          <w:sz w:val="24"/>
        </w:rPr>
        <w:t>1.4 工程量清单各章是按第八章“工程量清单计量规则”、第七章“技</w:t>
      </w:r>
      <w:r>
        <w:rPr>
          <w:rFonts w:hint="eastAsia" w:cs="宋体"/>
          <w:spacing w:val="-19"/>
          <w:w w:val="108"/>
          <w:sz w:val="24"/>
        </w:rPr>
        <w:t>术规范”的相应</w:t>
      </w:r>
      <w:r>
        <w:rPr>
          <w:rFonts w:hint="eastAsia" w:cs="宋体"/>
          <w:spacing w:val="-21"/>
          <w:w w:val="108"/>
          <w:sz w:val="24"/>
        </w:rPr>
        <w:t>章次</w:t>
      </w:r>
      <w:r>
        <w:rPr>
          <w:rFonts w:hint="eastAsia" w:cs="宋体"/>
          <w:w w:val="102"/>
          <w:sz w:val="24"/>
        </w:rPr>
        <w:t>编号的，因此，工程量清单中各章的工程子目的范围与计量等应与“工程量清单计量规则”、“技术规范”相应章节的范围、计量与支付条款结合起来理解或解释。</w:t>
      </w:r>
    </w:p>
    <w:p>
      <w:pPr>
        <w:pStyle w:val="2"/>
        <w:kinsoku w:val="0"/>
        <w:overflowPunct w:val="0"/>
        <w:autoSpaceDE w:val="0"/>
        <w:autoSpaceDN w:val="0"/>
        <w:adjustRightInd w:val="0"/>
        <w:spacing w:before="28" w:line="360" w:lineRule="auto"/>
        <w:ind w:right="329" w:firstLine="566"/>
        <w:rPr>
          <w:rFonts w:cs="宋体"/>
          <w:w w:val="102"/>
          <w:sz w:val="24"/>
        </w:rPr>
      </w:pPr>
      <w:r>
        <w:rPr>
          <w:rFonts w:hint="eastAsia" w:cs="宋体"/>
          <w:w w:val="102"/>
          <w:sz w:val="24"/>
        </w:rPr>
        <w:t>1.5 对作业和材料的一般说明或规定，未重复写入工程量清单内，在给工程量清单各子目标价前，应参阅到第七章“技术规范”的有关内容。</w:t>
      </w:r>
    </w:p>
    <w:p>
      <w:pPr>
        <w:pStyle w:val="2"/>
        <w:kinsoku w:val="0"/>
        <w:overflowPunct w:val="0"/>
        <w:autoSpaceDE w:val="0"/>
        <w:autoSpaceDN w:val="0"/>
        <w:adjustRightInd w:val="0"/>
        <w:spacing w:before="40" w:line="360" w:lineRule="auto"/>
        <w:ind w:left="155" w:right="248" w:firstLine="552"/>
        <w:rPr>
          <w:rFonts w:cs="宋体"/>
          <w:w w:val="102"/>
          <w:sz w:val="24"/>
        </w:rPr>
      </w:pPr>
      <w:r>
        <w:rPr>
          <w:rFonts w:hint="eastAsia" w:cs="宋体"/>
          <w:w w:val="102"/>
          <w:sz w:val="24"/>
        </w:rPr>
        <w:t>1.6 工程量清单中所列工程量的变动，丝毫不会降低或影响合同条款的效力，也不免除承包人按规定的标准进行施工和修复缺陷的责任。</w:t>
      </w:r>
    </w:p>
    <w:p>
      <w:pPr>
        <w:pStyle w:val="2"/>
        <w:kinsoku w:val="0"/>
        <w:overflowPunct w:val="0"/>
        <w:autoSpaceDE w:val="0"/>
        <w:autoSpaceDN w:val="0"/>
        <w:adjustRightInd w:val="0"/>
        <w:spacing w:before="47" w:line="360" w:lineRule="auto"/>
        <w:ind w:right="333" w:firstLine="566"/>
        <w:rPr>
          <w:rFonts w:cs="宋体"/>
          <w:sz w:val="24"/>
        </w:rPr>
      </w:pPr>
      <w:r>
        <w:rPr>
          <w:rFonts w:hint="eastAsia" w:cs="宋体"/>
          <w:w w:val="102"/>
          <w:sz w:val="24"/>
        </w:rPr>
        <w:t>1.7 图纸中所列的工程数量表及数量汇总表仅是提供资料,不是工程量清单的外延。当图纸与工程量清单所列数量不一致时，以工程量清单所列数量作为报价的依据。</w:t>
      </w:r>
    </w:p>
    <w:p>
      <w:pPr>
        <w:pStyle w:val="2"/>
        <w:kinsoku w:val="0"/>
        <w:overflowPunct w:val="0"/>
        <w:autoSpaceDE w:val="0"/>
        <w:autoSpaceDN w:val="0"/>
        <w:adjustRightInd w:val="0"/>
        <w:spacing w:line="360" w:lineRule="auto"/>
        <w:ind w:right="329"/>
        <w:rPr>
          <w:rFonts w:cs="宋体"/>
          <w:spacing w:val="4"/>
          <w:sz w:val="24"/>
        </w:rPr>
      </w:pPr>
      <w:r>
        <w:rPr>
          <w:rFonts w:hint="eastAsia" w:cs="宋体"/>
          <w:spacing w:val="6"/>
          <w:w w:val="110"/>
          <w:sz w:val="24"/>
        </w:rPr>
        <w:t>2.</w:t>
      </w:r>
      <w:r>
        <w:rPr>
          <w:rFonts w:hint="eastAsia" w:cs="宋体"/>
          <w:spacing w:val="4"/>
          <w:w w:val="110"/>
          <w:sz w:val="24"/>
        </w:rPr>
        <w:t>投标报价说明</w:t>
      </w:r>
    </w:p>
    <w:p>
      <w:pPr>
        <w:pStyle w:val="2"/>
        <w:kinsoku w:val="0"/>
        <w:overflowPunct w:val="0"/>
        <w:autoSpaceDE w:val="0"/>
        <w:autoSpaceDN w:val="0"/>
        <w:adjustRightInd w:val="0"/>
        <w:spacing w:line="360" w:lineRule="auto"/>
        <w:ind w:right="329" w:firstLine="516" w:firstLineChars="200"/>
        <w:rPr>
          <w:rFonts w:cs="宋体"/>
          <w:sz w:val="24"/>
        </w:rPr>
      </w:pPr>
      <w:r>
        <w:rPr>
          <w:rFonts w:hint="eastAsia" w:cs="宋体"/>
          <w:spacing w:val="3"/>
          <w:w w:val="105"/>
          <w:sz w:val="24"/>
        </w:rPr>
        <w:t xml:space="preserve">2.1 </w:t>
      </w:r>
      <w:r>
        <w:rPr>
          <w:rFonts w:hint="eastAsia" w:cs="宋体"/>
          <w:w w:val="105"/>
          <w:sz w:val="24"/>
        </w:rPr>
        <w:t>工程量清单中的每一子目须填入单价或价格</w:t>
      </w:r>
      <w:r>
        <w:rPr>
          <w:rFonts w:hint="eastAsia" w:cs="宋体"/>
          <w:spacing w:val="-8"/>
          <w:w w:val="105"/>
          <w:sz w:val="24"/>
        </w:rPr>
        <w:t>，且只允许有一个报价</w:t>
      </w:r>
      <w:r>
        <w:rPr>
          <w:rFonts w:hint="eastAsia" w:cs="宋体"/>
          <w:w w:val="105"/>
          <w:sz w:val="24"/>
        </w:rPr>
        <w:t>。</w:t>
      </w:r>
    </w:p>
    <w:p>
      <w:pPr>
        <w:pStyle w:val="2"/>
        <w:kinsoku w:val="0"/>
        <w:overflowPunct w:val="0"/>
        <w:autoSpaceDE w:val="0"/>
        <w:autoSpaceDN w:val="0"/>
        <w:adjustRightInd w:val="0"/>
        <w:spacing w:before="80" w:line="360" w:lineRule="auto"/>
        <w:ind w:right="126" w:firstLine="542"/>
        <w:rPr>
          <w:rFonts w:cs="宋体"/>
          <w:w w:val="105"/>
          <w:sz w:val="24"/>
        </w:rPr>
      </w:pPr>
      <w:r>
        <w:rPr>
          <w:rFonts w:hint="eastAsia" w:cs="宋体"/>
          <w:w w:val="105"/>
          <w:sz w:val="24"/>
        </w:rPr>
        <w:t>2.2 除非合同另有规定，工程量清单中有标价的单价和总额价均己包括了为实施和完成合同工程所需的劳务、材料、机械、质检（自检）、安装、缺陷修复、管理、保险、税费、利润等费用，以及合同明示或暗示的所有责任、义务和一般风险。</w:t>
      </w:r>
    </w:p>
    <w:p>
      <w:pPr>
        <w:pStyle w:val="2"/>
        <w:kinsoku w:val="0"/>
        <w:overflowPunct w:val="0"/>
        <w:autoSpaceDE w:val="0"/>
        <w:autoSpaceDN w:val="0"/>
        <w:adjustRightInd w:val="0"/>
        <w:spacing w:before="30" w:line="360" w:lineRule="auto"/>
        <w:ind w:right="323" w:firstLine="504" w:firstLineChars="200"/>
        <w:rPr>
          <w:rFonts w:cs="宋体"/>
          <w:sz w:val="24"/>
        </w:rPr>
      </w:pPr>
      <w:r>
        <w:rPr>
          <w:rFonts w:hint="eastAsia" w:cs="宋体"/>
          <w:w w:val="105"/>
          <w:sz w:val="24"/>
        </w:rPr>
        <w:t>2.3 工程量清单中投标人没有填入单价或价格的子目，其费用视为己分摊在 工程量清单中其他相关子目的单价或价格之中。承包人必须按监理人指令完成工程量清单中未填入单价或价格的子目，但不能得到结算与支付。</w:t>
      </w:r>
    </w:p>
    <w:p>
      <w:pPr>
        <w:pStyle w:val="2"/>
        <w:kinsoku w:val="0"/>
        <w:overflowPunct w:val="0"/>
        <w:autoSpaceDE w:val="0"/>
        <w:autoSpaceDN w:val="0"/>
        <w:adjustRightInd w:val="0"/>
        <w:spacing w:before="30" w:line="360" w:lineRule="auto"/>
        <w:ind w:right="323" w:firstLine="504" w:firstLineChars="200"/>
        <w:rPr>
          <w:rFonts w:cs="宋体"/>
          <w:w w:val="105"/>
          <w:sz w:val="24"/>
        </w:rPr>
      </w:pPr>
      <w:r>
        <w:rPr>
          <w:rFonts w:hint="eastAsia" w:cs="宋体"/>
          <w:w w:val="105"/>
          <w:sz w:val="24"/>
        </w:rPr>
        <w:t>2.4 符合合同条款规定的全部费用应认为己被计入有标价的工程量清单所列各子目之中，未列子目不予计量的工作，其费用应视为己分摊在本合同工程的有关子目的单价或总额价之中。</w:t>
      </w:r>
    </w:p>
    <w:p>
      <w:pPr>
        <w:pStyle w:val="2"/>
        <w:kinsoku w:val="0"/>
        <w:overflowPunct w:val="0"/>
        <w:autoSpaceDE w:val="0"/>
        <w:autoSpaceDN w:val="0"/>
        <w:adjustRightInd w:val="0"/>
        <w:spacing w:before="30" w:line="360" w:lineRule="auto"/>
        <w:ind w:right="323" w:firstLine="504" w:firstLineChars="200"/>
        <w:rPr>
          <w:rFonts w:cs="宋体"/>
          <w:w w:val="105"/>
          <w:sz w:val="24"/>
        </w:rPr>
      </w:pPr>
      <w:r>
        <w:rPr>
          <w:rFonts w:hint="eastAsia" w:cs="宋体"/>
          <w:w w:val="105"/>
          <w:sz w:val="24"/>
        </w:rPr>
        <w:t>2.5 承包人用于本合同工程的各类装备的提供、运输、维护、拆卸、拼装等支付的费用 ，己包括在工程量清单的单价与总额价之中 。</w:t>
      </w:r>
    </w:p>
    <w:p>
      <w:pPr>
        <w:pStyle w:val="2"/>
        <w:kinsoku w:val="0"/>
        <w:overflowPunct w:val="0"/>
        <w:autoSpaceDE w:val="0"/>
        <w:autoSpaceDN w:val="0"/>
        <w:adjustRightInd w:val="0"/>
        <w:spacing w:before="30" w:line="360" w:lineRule="auto"/>
        <w:ind w:right="323" w:firstLine="504" w:firstLineChars="200"/>
        <w:rPr>
          <w:rFonts w:cs="宋体"/>
          <w:w w:val="105"/>
          <w:sz w:val="24"/>
        </w:rPr>
      </w:pPr>
      <w:r>
        <w:rPr>
          <w:rFonts w:hint="eastAsia" w:cs="宋体"/>
          <w:w w:val="105"/>
          <w:sz w:val="24"/>
        </w:rPr>
        <w:t>2.6  工程量清单中各项金额均以人民币（元）结算。</w:t>
      </w:r>
    </w:p>
    <w:p>
      <w:pPr>
        <w:pStyle w:val="2"/>
        <w:kinsoku w:val="0"/>
        <w:overflowPunct w:val="0"/>
        <w:autoSpaceDE w:val="0"/>
        <w:autoSpaceDN w:val="0"/>
        <w:adjustRightInd w:val="0"/>
        <w:spacing w:before="30" w:line="360" w:lineRule="auto"/>
        <w:ind w:right="323" w:firstLine="504" w:firstLineChars="200"/>
        <w:rPr>
          <w:rFonts w:cs="宋体"/>
          <w:w w:val="105"/>
          <w:sz w:val="24"/>
        </w:rPr>
      </w:pPr>
      <w:r>
        <w:rPr>
          <w:rFonts w:hint="eastAsia" w:cs="宋体"/>
          <w:w w:val="105"/>
          <w:sz w:val="24"/>
        </w:rPr>
        <w:t>2.7  暂列金额:130318.00元，投标人报价时，</w:t>
      </w:r>
      <w:r>
        <w:rPr>
          <w:rFonts w:hint="eastAsia" w:cs="宋体"/>
          <w:w w:val="103"/>
          <w:sz w:val="24"/>
        </w:rPr>
        <w:t>将此金额计入本工程量清单“</w:t>
      </w:r>
      <w:r>
        <w:rPr>
          <w:rFonts w:hint="eastAsia" w:cs="宋体"/>
          <w:w w:val="105"/>
          <w:sz w:val="24"/>
        </w:rPr>
        <w:t>投标报价汇总表”暂列金额中。</w:t>
      </w:r>
    </w:p>
    <w:p>
      <w:pPr>
        <w:pStyle w:val="2"/>
        <w:kinsoku w:val="0"/>
        <w:overflowPunct w:val="0"/>
        <w:autoSpaceDE w:val="0"/>
        <w:autoSpaceDN w:val="0"/>
        <w:adjustRightInd w:val="0"/>
        <w:spacing w:before="30" w:line="360" w:lineRule="auto"/>
        <w:ind w:right="323" w:firstLine="504" w:firstLineChars="200"/>
        <w:rPr>
          <w:rFonts w:cs="宋体"/>
          <w:w w:val="105"/>
          <w:sz w:val="24"/>
        </w:rPr>
      </w:pPr>
      <w:r>
        <w:rPr>
          <w:rFonts w:hint="eastAsia" w:cs="宋体"/>
          <w:w w:val="105"/>
          <w:sz w:val="24"/>
        </w:rPr>
        <w:t>2.8  暂估价的数量及拟用子目的说明：</w:t>
      </w:r>
      <w:r>
        <w:rPr>
          <w:rFonts w:hint="eastAsia" w:cs="宋体"/>
          <w:w w:val="105"/>
          <w:sz w:val="24"/>
          <w:u w:val="single"/>
        </w:rPr>
        <w:t>无</w:t>
      </w:r>
      <w:r>
        <w:rPr>
          <w:rFonts w:hint="eastAsia" w:cs="宋体"/>
          <w:w w:val="105"/>
          <w:sz w:val="24"/>
        </w:rPr>
        <w:t xml:space="preserve">。            </w:t>
      </w:r>
    </w:p>
    <w:p>
      <w:pPr>
        <w:pStyle w:val="2"/>
        <w:kinsoku w:val="0"/>
        <w:overflowPunct w:val="0"/>
        <w:autoSpaceDE w:val="0"/>
        <w:autoSpaceDN w:val="0"/>
        <w:adjustRightInd w:val="0"/>
        <w:spacing w:before="28" w:line="360" w:lineRule="auto"/>
        <w:ind w:right="487" w:firstLine="494" w:firstLineChars="200"/>
        <w:rPr>
          <w:rFonts w:cs="宋体"/>
          <w:w w:val="103"/>
          <w:sz w:val="24"/>
        </w:rPr>
      </w:pPr>
      <w:r>
        <w:rPr>
          <w:rFonts w:hint="eastAsia" w:cs="宋体"/>
          <w:w w:val="103"/>
          <w:sz w:val="24"/>
        </w:rPr>
        <w:t>3. 其他说明：</w:t>
      </w:r>
    </w:p>
    <w:p>
      <w:pPr>
        <w:widowControl/>
        <w:spacing w:line="360" w:lineRule="auto"/>
        <w:ind w:firstLine="480"/>
        <w:jc w:val="left"/>
        <w:rPr>
          <w:sz w:val="24"/>
          <w:szCs w:val="24"/>
        </w:rPr>
      </w:pPr>
      <w:r>
        <w:rPr>
          <w:rFonts w:hint="eastAsia" w:cs="宋体"/>
          <w:w w:val="103"/>
          <w:sz w:val="24"/>
        </w:rPr>
        <w:t>3.1工程内容：本工程为鞍山市黑大线冉家堡桥、草鞍线倪家台桥维修加固工程一标段施工，该项目位于海城市境内黑大线（G202）K1442+443处，桥梁跨境布置为1*13米+3*20米+1*13米，桥面净宽23.7米，全宽24.7米，</w:t>
      </w:r>
      <w:r>
        <w:rPr>
          <w:rFonts w:hint="eastAsia"/>
          <w:sz w:val="24"/>
          <w:szCs w:val="24"/>
        </w:rPr>
        <w:t>招标范围；全桥上部结构拆除，采用预应力T梁进行新建，下部结构加固后利用，重新铺设桥面系，荷载等级提至公路-I级等施工图纸范围内全部内容</w:t>
      </w:r>
    </w:p>
    <w:p>
      <w:pPr>
        <w:pStyle w:val="2"/>
        <w:kinsoku w:val="0"/>
        <w:overflowPunct w:val="0"/>
        <w:autoSpaceDE w:val="0"/>
        <w:autoSpaceDN w:val="0"/>
        <w:adjustRightInd w:val="0"/>
        <w:spacing w:before="28" w:line="360" w:lineRule="auto"/>
        <w:ind w:right="487" w:firstLine="494" w:firstLineChars="200"/>
        <w:rPr>
          <w:rFonts w:cs="宋体"/>
          <w:w w:val="103"/>
          <w:sz w:val="24"/>
        </w:rPr>
      </w:pPr>
      <w:r>
        <w:rPr>
          <w:rFonts w:hint="eastAsia" w:cs="宋体"/>
          <w:w w:val="103"/>
          <w:sz w:val="24"/>
        </w:rPr>
        <w:t xml:space="preserve"> 3.2 投标报价要求：</w:t>
      </w:r>
    </w:p>
    <w:p>
      <w:pPr>
        <w:pStyle w:val="2"/>
        <w:kinsoku w:val="0"/>
        <w:overflowPunct w:val="0"/>
        <w:autoSpaceDE w:val="0"/>
        <w:autoSpaceDN w:val="0"/>
        <w:adjustRightInd w:val="0"/>
        <w:spacing w:before="28" w:line="360" w:lineRule="auto"/>
        <w:ind w:right="487" w:firstLine="494" w:firstLineChars="200"/>
        <w:rPr>
          <w:rFonts w:cs="宋体"/>
          <w:w w:val="103"/>
          <w:sz w:val="24"/>
        </w:rPr>
      </w:pPr>
      <w:r>
        <w:rPr>
          <w:rFonts w:hint="eastAsia" w:cs="宋体"/>
          <w:w w:val="103"/>
          <w:sz w:val="24"/>
        </w:rPr>
        <w:t>（1）根据交通部颁发的《公路水运工程安全生产监督管理办法》，投标人在投标总价中应计入安全生产费用，该费用为最高投标限价的1.5％，以固定金额计入本工程量清单支付细目102-3中。</w:t>
      </w:r>
    </w:p>
    <w:p>
      <w:pPr>
        <w:pStyle w:val="2"/>
        <w:kinsoku w:val="0"/>
        <w:overflowPunct w:val="0"/>
        <w:autoSpaceDE w:val="0"/>
        <w:autoSpaceDN w:val="0"/>
        <w:adjustRightInd w:val="0"/>
        <w:spacing w:before="28" w:line="360" w:lineRule="auto"/>
        <w:ind w:right="487" w:firstLine="494" w:firstLineChars="200"/>
        <w:rPr>
          <w:rFonts w:cs="宋体"/>
          <w:w w:val="103"/>
          <w:sz w:val="24"/>
        </w:rPr>
      </w:pPr>
      <w:r>
        <w:rPr>
          <w:rFonts w:hint="eastAsia" w:cs="宋体"/>
          <w:w w:val="103"/>
          <w:sz w:val="24"/>
        </w:rPr>
        <w:t>（2）100章已给定数量的子目按招标文件要求报价，未给定数量子目报价需考虑在200章至600章各细目的综合单价中。</w:t>
      </w:r>
    </w:p>
    <w:p>
      <w:pPr>
        <w:pStyle w:val="2"/>
        <w:kinsoku w:val="0"/>
        <w:overflowPunct w:val="0"/>
        <w:autoSpaceDE w:val="0"/>
        <w:autoSpaceDN w:val="0"/>
        <w:adjustRightInd w:val="0"/>
        <w:spacing w:before="28" w:line="360" w:lineRule="auto"/>
        <w:ind w:right="487" w:firstLine="494" w:firstLineChars="200"/>
        <w:rPr>
          <w:rFonts w:cs="宋体"/>
          <w:w w:val="103"/>
          <w:sz w:val="24"/>
        </w:rPr>
      </w:pPr>
      <w:r>
        <w:rPr>
          <w:rFonts w:hint="eastAsia" w:cs="宋体"/>
          <w:w w:val="103"/>
          <w:sz w:val="24"/>
        </w:rPr>
        <w:t>（3）投标报价定额采用《公路工程预算定额》（JTG/T3832-2018）,费率应按交通运输部办公厅文件交办公路【2016】66号文件关于印发《公路工程营业税改增值税计价依据调整方案的通知》及辽住建建管【2019】9号文件执行，人工费及规费按《辽交公水发【2019】183号》文件执行。</w:t>
      </w:r>
    </w:p>
    <w:p>
      <w:pPr>
        <w:pStyle w:val="2"/>
        <w:kinsoku w:val="0"/>
        <w:overflowPunct w:val="0"/>
        <w:autoSpaceDE w:val="0"/>
        <w:autoSpaceDN w:val="0"/>
        <w:adjustRightInd w:val="0"/>
        <w:spacing w:before="29" w:line="360" w:lineRule="auto"/>
        <w:ind w:right="176" w:firstLine="494" w:firstLineChars="200"/>
        <w:rPr>
          <w:rFonts w:cs="宋体"/>
          <w:w w:val="103"/>
          <w:sz w:val="24"/>
        </w:rPr>
      </w:pPr>
      <w:r>
        <w:rPr>
          <w:rFonts w:hint="eastAsia" w:cs="宋体"/>
          <w:w w:val="103"/>
          <w:sz w:val="24"/>
        </w:rPr>
        <w:t>（4）本工程最高投标限价为5840196.00元，投标报价不得高于最高投标限价.</w:t>
      </w:r>
    </w:p>
    <w:p>
      <w:pPr>
        <w:pStyle w:val="2"/>
        <w:kinsoku w:val="0"/>
        <w:overflowPunct w:val="0"/>
        <w:autoSpaceDE w:val="0"/>
        <w:autoSpaceDN w:val="0"/>
        <w:adjustRightInd w:val="0"/>
        <w:spacing w:before="29" w:line="360" w:lineRule="auto"/>
        <w:ind w:right="176" w:firstLine="494" w:firstLineChars="200"/>
        <w:rPr>
          <w:rFonts w:cs="宋体"/>
          <w:w w:val="103"/>
          <w:sz w:val="24"/>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autoSpaceDE w:val="0"/>
        <w:autoSpaceDN w:val="0"/>
        <w:adjustRightInd w:val="0"/>
        <w:spacing w:before="29" w:line="360" w:lineRule="auto"/>
        <w:ind w:right="176"/>
        <w:rPr>
          <w:sz w:val="20"/>
          <w:szCs w:val="20"/>
        </w:rPr>
      </w:pPr>
    </w:p>
    <w:p>
      <w:pPr>
        <w:pStyle w:val="2"/>
        <w:kinsoku w:val="0"/>
        <w:overflowPunct w:val="0"/>
        <w:spacing w:before="13"/>
        <w:ind w:right="94"/>
        <w:rPr>
          <w:rFonts w:cs="宋体"/>
          <w:w w:val="105"/>
          <w:sz w:val="28"/>
          <w:szCs w:val="28"/>
        </w:rPr>
      </w:pPr>
    </w:p>
    <w:p>
      <w:pPr>
        <w:pStyle w:val="2"/>
        <w:kinsoku w:val="0"/>
        <w:overflowPunct w:val="0"/>
        <w:spacing w:before="13"/>
        <w:ind w:right="94"/>
        <w:rPr>
          <w:rFonts w:cs="宋体"/>
          <w:color w:val="000000"/>
          <w:kern w:val="0"/>
          <w:sz w:val="16"/>
          <w:szCs w:val="16"/>
        </w:rPr>
      </w:pPr>
    </w:p>
    <w:p>
      <w:pPr>
        <w:pStyle w:val="2"/>
        <w:kinsoku w:val="0"/>
        <w:overflowPunct w:val="0"/>
        <w:spacing w:before="13"/>
        <w:ind w:right="94"/>
        <w:rPr>
          <w:rFonts w:cs="宋体"/>
          <w:spacing w:val="-5"/>
          <w:sz w:val="28"/>
          <w:szCs w:val="28"/>
        </w:rPr>
      </w:pPr>
      <w:r>
        <w:rPr>
          <w:rFonts w:hint="eastAsia" w:cs="宋体"/>
          <w:w w:val="105"/>
          <w:sz w:val="28"/>
          <w:szCs w:val="28"/>
        </w:rPr>
        <w:t>5.</w:t>
      </w:r>
      <w:r>
        <w:rPr>
          <w:rFonts w:hint="eastAsia" w:cs="宋体"/>
          <w:spacing w:val="-5"/>
          <w:w w:val="105"/>
          <w:sz w:val="28"/>
          <w:szCs w:val="28"/>
        </w:rPr>
        <w:t>工程量清单</w:t>
      </w:r>
    </w:p>
    <w:p>
      <w:pPr>
        <w:pStyle w:val="2"/>
        <w:kinsoku w:val="0"/>
        <w:overflowPunct w:val="0"/>
        <w:ind w:right="94"/>
        <w:rPr>
          <w:rFonts w:cs="宋体"/>
          <w:w w:val="105"/>
          <w:sz w:val="28"/>
          <w:szCs w:val="28"/>
        </w:rPr>
      </w:pPr>
      <w:r>
        <w:rPr>
          <w:rFonts w:hint="eastAsia" w:cs="宋体"/>
          <w:w w:val="105"/>
          <w:sz w:val="28"/>
          <w:szCs w:val="28"/>
        </w:rPr>
        <w:t>5.1工程量清单表</w:t>
      </w:r>
    </w:p>
    <w:tbl>
      <w:tblPr>
        <w:tblStyle w:val="5"/>
        <w:tblW w:w="8505" w:type="dxa"/>
        <w:tblInd w:w="91" w:type="dxa"/>
        <w:tblLayout w:type="autofit"/>
        <w:tblCellMar>
          <w:top w:w="0" w:type="dxa"/>
          <w:left w:w="108" w:type="dxa"/>
          <w:bottom w:w="0" w:type="dxa"/>
          <w:right w:w="108" w:type="dxa"/>
        </w:tblCellMar>
      </w:tblPr>
      <w:tblGrid>
        <w:gridCol w:w="700"/>
        <w:gridCol w:w="177"/>
        <w:gridCol w:w="704"/>
        <w:gridCol w:w="3009"/>
        <w:gridCol w:w="700"/>
        <w:gridCol w:w="1121"/>
        <w:gridCol w:w="869"/>
        <w:gridCol w:w="176"/>
        <w:gridCol w:w="1049"/>
      </w:tblGrid>
      <w:tr>
        <w:tblPrEx>
          <w:tblCellMar>
            <w:top w:w="0" w:type="dxa"/>
            <w:left w:w="108" w:type="dxa"/>
            <w:bottom w:w="0" w:type="dxa"/>
            <w:right w:w="108" w:type="dxa"/>
          </w:tblCellMar>
        </w:tblPrEx>
        <w:trPr>
          <w:trHeight w:val="540" w:hRule="atLeast"/>
        </w:trPr>
        <w:tc>
          <w:tcPr>
            <w:tcW w:w="8505" w:type="dxa"/>
            <w:gridSpan w:val="9"/>
            <w:tcBorders>
              <w:top w:val="nil"/>
              <w:left w:val="nil"/>
              <w:bottom w:val="nil"/>
              <w:right w:val="nil"/>
            </w:tcBorders>
            <w:shd w:val="clear" w:color="auto" w:fill="FFFFFF"/>
            <w:vAlign w:val="center"/>
          </w:tcPr>
          <w:p>
            <w:pPr>
              <w:widowControl/>
              <w:jc w:val="center"/>
              <w:textAlignment w:val="center"/>
              <w:rPr>
                <w:rFonts w:ascii="宋体" w:hAnsi="宋体" w:cs="宋体"/>
                <w:b/>
                <w:bCs/>
                <w:color w:val="000000"/>
                <w:sz w:val="36"/>
                <w:szCs w:val="36"/>
              </w:rPr>
            </w:pPr>
            <w:r>
              <w:rPr>
                <w:rFonts w:hint="eastAsia" w:ascii="宋体" w:hAnsi="宋体" w:cs="宋体"/>
                <w:b/>
                <w:bCs/>
                <w:color w:val="000000"/>
                <w:kern w:val="0"/>
                <w:sz w:val="36"/>
                <w:szCs w:val="36"/>
              </w:rPr>
              <w:t>投标报价汇总表</w:t>
            </w:r>
          </w:p>
        </w:tc>
      </w:tr>
      <w:tr>
        <w:tblPrEx>
          <w:tblCellMar>
            <w:top w:w="0" w:type="dxa"/>
            <w:left w:w="108" w:type="dxa"/>
            <w:bottom w:w="0" w:type="dxa"/>
            <w:right w:w="108" w:type="dxa"/>
          </w:tblCellMar>
        </w:tblPrEx>
        <w:trPr>
          <w:trHeight w:val="600" w:hRule="atLeast"/>
        </w:trPr>
        <w:tc>
          <w:tcPr>
            <w:tcW w:w="8505" w:type="dxa"/>
            <w:gridSpan w:val="9"/>
            <w:tcBorders>
              <w:top w:val="nil"/>
              <w:left w:val="nil"/>
              <w:bottom w:val="single" w:color="000000" w:sz="4" w:space="0"/>
              <w:right w:val="nil"/>
            </w:tcBorders>
            <w:shd w:val="clear" w:color="auto" w:fill="FFFFFF"/>
            <w:vAlign w:val="bottom"/>
          </w:tcPr>
          <w:p>
            <w:pPr>
              <w:widowControl/>
              <w:jc w:val="left"/>
              <w:textAlignment w:val="bottom"/>
              <w:rPr>
                <w:rFonts w:ascii="宋体" w:hAnsi="宋体" w:cs="宋体"/>
                <w:color w:val="000000"/>
                <w:sz w:val="16"/>
                <w:szCs w:val="16"/>
              </w:rPr>
            </w:pPr>
            <w:r>
              <w:rPr>
                <w:rFonts w:hint="eastAsia" w:ascii="宋体" w:hAnsi="宋体" w:cs="宋体"/>
                <w:color w:val="000000"/>
                <w:kern w:val="0"/>
                <w:sz w:val="16"/>
                <w:szCs w:val="16"/>
              </w:rPr>
              <w:t xml:space="preserve"> 合同顿：鞍山市2021年黑大线冉家堡桥、草鞍线倪家台桥维修加固工程一标段                  标表1                                                                           </w:t>
            </w:r>
          </w:p>
        </w:tc>
      </w:tr>
      <w:tr>
        <w:tblPrEx>
          <w:tblCellMar>
            <w:top w:w="0" w:type="dxa"/>
            <w:left w:w="108" w:type="dxa"/>
            <w:bottom w:w="0" w:type="dxa"/>
            <w:right w:w="108" w:type="dxa"/>
          </w:tblCellMar>
        </w:tblPrEx>
        <w:trPr>
          <w:trHeight w:val="500" w:hRule="atLeast"/>
        </w:trPr>
        <w:tc>
          <w:tcPr>
            <w:tcW w:w="700" w:type="dxa"/>
            <w:tcBorders>
              <w:top w:val="single" w:color="000000" w:sz="8" w:space="0"/>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序号</w:t>
            </w:r>
          </w:p>
        </w:tc>
        <w:tc>
          <w:tcPr>
            <w:tcW w:w="881" w:type="dxa"/>
            <w:gridSpan w:val="2"/>
            <w:tcBorders>
              <w:top w:val="single" w:color="000000" w:sz="8"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章次</w:t>
            </w:r>
          </w:p>
        </w:tc>
        <w:tc>
          <w:tcPr>
            <w:tcW w:w="5699" w:type="dxa"/>
            <w:gridSpan w:val="4"/>
            <w:tcBorders>
              <w:top w:val="single" w:color="000000" w:sz="8"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科目名称</w:t>
            </w:r>
          </w:p>
        </w:tc>
        <w:tc>
          <w:tcPr>
            <w:tcW w:w="1225" w:type="dxa"/>
            <w:gridSpan w:val="2"/>
            <w:tcBorders>
              <w:top w:val="single" w:color="000000" w:sz="8" w:space="0"/>
              <w:left w:val="nil"/>
              <w:bottom w:val="single" w:color="000000" w:sz="4" w:space="0"/>
              <w:right w:val="single" w:color="000000" w:sz="8"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金额（元）</w:t>
            </w:r>
          </w:p>
        </w:tc>
      </w:tr>
      <w:tr>
        <w:tblPrEx>
          <w:tblCellMar>
            <w:top w:w="0" w:type="dxa"/>
            <w:left w:w="108" w:type="dxa"/>
            <w:bottom w:w="0" w:type="dxa"/>
            <w:right w:w="108" w:type="dxa"/>
          </w:tblCellMar>
        </w:tblPrEx>
        <w:trPr>
          <w:trHeight w:val="300" w:hRule="atLeast"/>
        </w:trPr>
        <w:tc>
          <w:tcPr>
            <w:tcW w:w="700"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w:t>
            </w:r>
          </w:p>
        </w:tc>
        <w:tc>
          <w:tcPr>
            <w:tcW w:w="881"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5699" w:type="dxa"/>
            <w:gridSpan w:val="4"/>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  总 则</w:t>
            </w:r>
          </w:p>
        </w:tc>
        <w:tc>
          <w:tcPr>
            <w:tcW w:w="1225"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700"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w:t>
            </w:r>
          </w:p>
        </w:tc>
        <w:tc>
          <w:tcPr>
            <w:tcW w:w="881"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200</w:t>
            </w:r>
          </w:p>
        </w:tc>
        <w:tc>
          <w:tcPr>
            <w:tcW w:w="5699" w:type="dxa"/>
            <w:gridSpan w:val="4"/>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  路 基</w:t>
            </w:r>
          </w:p>
        </w:tc>
        <w:tc>
          <w:tcPr>
            <w:tcW w:w="1225"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700"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w:t>
            </w:r>
          </w:p>
        </w:tc>
        <w:tc>
          <w:tcPr>
            <w:tcW w:w="881"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300</w:t>
            </w:r>
          </w:p>
        </w:tc>
        <w:tc>
          <w:tcPr>
            <w:tcW w:w="5699" w:type="dxa"/>
            <w:gridSpan w:val="4"/>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  路 面</w:t>
            </w:r>
          </w:p>
        </w:tc>
        <w:tc>
          <w:tcPr>
            <w:tcW w:w="1225"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700"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w:t>
            </w:r>
          </w:p>
        </w:tc>
        <w:tc>
          <w:tcPr>
            <w:tcW w:w="881"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400</w:t>
            </w:r>
          </w:p>
        </w:tc>
        <w:tc>
          <w:tcPr>
            <w:tcW w:w="5699" w:type="dxa"/>
            <w:gridSpan w:val="4"/>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  桥梁、涵洞</w:t>
            </w:r>
          </w:p>
        </w:tc>
        <w:tc>
          <w:tcPr>
            <w:tcW w:w="1225"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700"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5</w:t>
            </w:r>
          </w:p>
        </w:tc>
        <w:tc>
          <w:tcPr>
            <w:tcW w:w="881"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600</w:t>
            </w:r>
          </w:p>
        </w:tc>
        <w:tc>
          <w:tcPr>
            <w:tcW w:w="5699" w:type="dxa"/>
            <w:gridSpan w:val="4"/>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  安全设施及预埋管线</w:t>
            </w:r>
          </w:p>
        </w:tc>
        <w:tc>
          <w:tcPr>
            <w:tcW w:w="1225"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700"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w:t>
            </w:r>
          </w:p>
        </w:tc>
        <w:tc>
          <w:tcPr>
            <w:tcW w:w="6580" w:type="dxa"/>
            <w:gridSpan w:val="6"/>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225"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700"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7</w:t>
            </w:r>
          </w:p>
        </w:tc>
        <w:tc>
          <w:tcPr>
            <w:tcW w:w="6580" w:type="dxa"/>
            <w:gridSpan w:val="6"/>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第100章至第700章合计</w:t>
            </w:r>
          </w:p>
        </w:tc>
        <w:tc>
          <w:tcPr>
            <w:tcW w:w="1225"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700"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8</w:t>
            </w:r>
          </w:p>
        </w:tc>
        <w:tc>
          <w:tcPr>
            <w:tcW w:w="6580" w:type="dxa"/>
            <w:gridSpan w:val="6"/>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暂列金额</w:t>
            </w:r>
          </w:p>
        </w:tc>
        <w:tc>
          <w:tcPr>
            <w:tcW w:w="1225"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r>
              <w:rPr>
                <w:rFonts w:hint="eastAsia" w:ascii="Arial Narrow" w:hAnsi="Arial Narrow" w:eastAsia="Arial Narrow" w:cs="Arial Narrow"/>
                <w:color w:val="000000"/>
                <w:sz w:val="16"/>
                <w:szCs w:val="16"/>
              </w:rPr>
              <w:t>130318.00</w:t>
            </w:r>
          </w:p>
        </w:tc>
      </w:tr>
      <w:tr>
        <w:tblPrEx>
          <w:tblCellMar>
            <w:top w:w="0" w:type="dxa"/>
            <w:left w:w="108" w:type="dxa"/>
            <w:bottom w:w="0" w:type="dxa"/>
            <w:right w:w="108" w:type="dxa"/>
          </w:tblCellMar>
        </w:tblPrEx>
        <w:trPr>
          <w:trHeight w:val="300" w:hRule="atLeast"/>
        </w:trPr>
        <w:tc>
          <w:tcPr>
            <w:tcW w:w="700"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9</w:t>
            </w:r>
          </w:p>
        </w:tc>
        <w:tc>
          <w:tcPr>
            <w:tcW w:w="6580" w:type="dxa"/>
            <w:gridSpan w:val="6"/>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投标报价</w:t>
            </w:r>
          </w:p>
        </w:tc>
        <w:tc>
          <w:tcPr>
            <w:tcW w:w="1225"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700"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w:t>
            </w:r>
          </w:p>
        </w:tc>
        <w:tc>
          <w:tcPr>
            <w:tcW w:w="6580" w:type="dxa"/>
            <w:gridSpan w:val="6"/>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p>
        </w:tc>
        <w:tc>
          <w:tcPr>
            <w:tcW w:w="1225"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700"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11</w:t>
            </w:r>
          </w:p>
        </w:tc>
        <w:tc>
          <w:tcPr>
            <w:tcW w:w="6580" w:type="dxa"/>
            <w:gridSpan w:val="6"/>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p>
        </w:tc>
        <w:tc>
          <w:tcPr>
            <w:tcW w:w="1225"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700"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12</w:t>
            </w:r>
          </w:p>
        </w:tc>
        <w:tc>
          <w:tcPr>
            <w:tcW w:w="6580" w:type="dxa"/>
            <w:gridSpan w:val="6"/>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p>
        </w:tc>
        <w:tc>
          <w:tcPr>
            <w:tcW w:w="1225"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700" w:type="dxa"/>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13</w:t>
            </w:r>
          </w:p>
        </w:tc>
        <w:tc>
          <w:tcPr>
            <w:tcW w:w="6580" w:type="dxa"/>
            <w:gridSpan w:val="6"/>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225" w:type="dxa"/>
            <w:gridSpan w:val="2"/>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5386" w:hRule="atLeast"/>
        </w:trPr>
        <w:tc>
          <w:tcPr>
            <w:tcW w:w="700" w:type="dxa"/>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6580" w:type="dxa"/>
            <w:gridSpan w:val="6"/>
            <w:vMerge w:val="restart"/>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225" w:type="dxa"/>
            <w:gridSpan w:val="2"/>
            <w:vMerge w:val="restart"/>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1060" w:hRule="atLeast"/>
        </w:trPr>
        <w:tc>
          <w:tcPr>
            <w:tcW w:w="700" w:type="dxa"/>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6580" w:type="dxa"/>
            <w:gridSpan w:val="6"/>
            <w:vMerge w:val="continue"/>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225" w:type="dxa"/>
            <w:gridSpan w:val="2"/>
            <w:vMerge w:val="continue"/>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560" w:hRule="atLeast"/>
        </w:trPr>
        <w:tc>
          <w:tcPr>
            <w:tcW w:w="8505" w:type="dxa"/>
            <w:gridSpan w:val="9"/>
            <w:tcBorders>
              <w:top w:val="nil"/>
              <w:left w:val="nil"/>
              <w:bottom w:val="nil"/>
              <w:right w:val="nil"/>
            </w:tcBorders>
            <w:shd w:val="clear" w:color="auto" w:fill="FFFFFF"/>
          </w:tcPr>
          <w:p>
            <w:pPr>
              <w:widowControl/>
              <w:jc w:val="center"/>
              <w:textAlignment w:val="top"/>
              <w:rPr>
                <w:rFonts w:ascii="宋体" w:hAnsi="宋体" w:cs="宋体"/>
                <w:b/>
                <w:bCs/>
                <w:color w:val="000000"/>
                <w:kern w:val="0"/>
                <w:sz w:val="36"/>
                <w:szCs w:val="36"/>
              </w:rPr>
            </w:pPr>
          </w:p>
          <w:p>
            <w:pPr>
              <w:widowControl/>
              <w:jc w:val="center"/>
              <w:textAlignment w:val="top"/>
              <w:rPr>
                <w:rFonts w:ascii="宋体" w:hAnsi="宋体" w:cs="宋体"/>
                <w:b/>
                <w:bCs/>
                <w:color w:val="000000"/>
                <w:kern w:val="0"/>
                <w:sz w:val="36"/>
                <w:szCs w:val="36"/>
              </w:rPr>
            </w:pPr>
          </w:p>
          <w:p>
            <w:pPr>
              <w:widowControl/>
              <w:jc w:val="center"/>
              <w:textAlignment w:val="top"/>
              <w:rPr>
                <w:rFonts w:ascii="宋体" w:hAnsi="宋体" w:cs="宋体"/>
                <w:b/>
                <w:bCs/>
                <w:color w:val="000000"/>
                <w:kern w:val="0"/>
                <w:sz w:val="36"/>
                <w:szCs w:val="36"/>
              </w:rPr>
            </w:pPr>
            <w:r>
              <w:rPr>
                <w:rFonts w:hint="eastAsia" w:ascii="宋体" w:hAnsi="宋体" w:cs="宋体"/>
                <w:b/>
                <w:bCs/>
                <w:color w:val="000000"/>
                <w:kern w:val="0"/>
                <w:sz w:val="36"/>
                <w:szCs w:val="36"/>
              </w:rPr>
              <w:t>工程量清单表</w:t>
            </w:r>
          </w:p>
          <w:p>
            <w:pPr>
              <w:widowControl/>
              <w:jc w:val="left"/>
              <w:textAlignment w:val="top"/>
              <w:rPr>
                <w:rFonts w:ascii="宋体" w:hAnsi="宋体" w:cs="宋体"/>
                <w:b/>
                <w:bCs/>
                <w:color w:val="000000"/>
                <w:kern w:val="0"/>
                <w:sz w:val="16"/>
                <w:szCs w:val="16"/>
              </w:rPr>
            </w:pPr>
            <w:r>
              <w:rPr>
                <w:rFonts w:hint="eastAsia" w:ascii="宋体" w:hAnsi="宋体" w:cs="宋体"/>
                <w:color w:val="000000"/>
                <w:kern w:val="0"/>
                <w:sz w:val="16"/>
                <w:szCs w:val="16"/>
              </w:rPr>
              <w:t xml:space="preserve">合同顿：鞍山市2021年黑大线冉家堡桥、草鞍线倪家台桥维修加固工程一标段                             标表2                                   </w:t>
            </w:r>
          </w:p>
        </w:tc>
      </w:tr>
      <w:tr>
        <w:tblPrEx>
          <w:tblCellMar>
            <w:top w:w="0" w:type="dxa"/>
            <w:left w:w="108" w:type="dxa"/>
            <w:bottom w:w="0" w:type="dxa"/>
            <w:right w:w="108" w:type="dxa"/>
          </w:tblCellMar>
        </w:tblPrEx>
        <w:trPr>
          <w:trHeight w:val="440" w:hRule="atLeast"/>
        </w:trPr>
        <w:tc>
          <w:tcPr>
            <w:tcW w:w="8505" w:type="dxa"/>
            <w:gridSpan w:val="9"/>
            <w:tcBorders>
              <w:top w:val="single" w:color="000000" w:sz="8" w:space="0"/>
              <w:left w:val="single" w:color="000000" w:sz="8" w:space="0"/>
              <w:bottom w:val="single" w:color="000000" w:sz="4" w:space="0"/>
              <w:right w:val="single" w:color="000000" w:sz="8" w:space="0"/>
            </w:tcBorders>
            <w:shd w:val="clear" w:color="auto" w:fill="FFFFFF"/>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清单  第100章  总 则</w:t>
            </w:r>
          </w:p>
        </w:tc>
      </w:tr>
      <w:tr>
        <w:tblPrEx>
          <w:tblCellMar>
            <w:top w:w="0" w:type="dxa"/>
            <w:left w:w="108" w:type="dxa"/>
            <w:bottom w:w="0" w:type="dxa"/>
            <w:right w:w="108" w:type="dxa"/>
          </w:tblCellMar>
        </w:tblPrEx>
        <w:trPr>
          <w:trHeight w:val="34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子目号</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子目名称</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单位</w:t>
            </w:r>
          </w:p>
        </w:tc>
        <w:tc>
          <w:tcPr>
            <w:tcW w:w="112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数量</w:t>
            </w:r>
          </w:p>
        </w:tc>
        <w:tc>
          <w:tcPr>
            <w:tcW w:w="1045"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单价</w:t>
            </w:r>
          </w:p>
        </w:tc>
        <w:tc>
          <w:tcPr>
            <w:tcW w:w="1049" w:type="dxa"/>
            <w:tcBorders>
              <w:top w:val="nil"/>
              <w:left w:val="nil"/>
              <w:bottom w:val="single" w:color="000000" w:sz="4" w:space="0"/>
              <w:right w:val="single" w:color="000000" w:sz="8"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合价</w:t>
            </w: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101</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通则</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101-1</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保险费</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-a</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按合同条款规定，提供建筑工程一切险</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1.000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-b</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按合同条款规定，提供第三者责任险</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1.000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102</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工程管理</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102-1</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竣工文件</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1.000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102-2</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施工环保费</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1.000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102-3</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安全生产费</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1.000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102-4</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信息化系统（暂估价）</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103</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临时工程与设施</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103-1</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临时道路修建、养护与拆除（包括原道路的养护）</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1.000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103-2</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临时占地</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103-3</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临时供电设施架设、维护与拆除</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103-4</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电信设施的提供、维修与拆除</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103-5</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临时供水与排污设施</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104</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承包人驻地建设</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104-1</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承包人驻地建设</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1.000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105</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施工标准化</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105-1</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施工驻地</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105-2</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工地试验室</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105-3</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拌和站</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105-4</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钢筋加工场</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105-5</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预制场</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105-6</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仓储存放地</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105-7</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各场（厂）区、作业区连接道路及施工主便道</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总额</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968"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3713" w:type="dxa"/>
            <w:gridSpan w:val="2"/>
            <w:tcBorders>
              <w:top w:val="nil"/>
              <w:left w:val="nil"/>
              <w:bottom w:val="single" w:color="000000" w:sz="4" w:space="0"/>
              <w:right w:val="single" w:color="000000" w:sz="4" w:space="0"/>
            </w:tcBorders>
            <w:shd w:val="clear" w:color="auto" w:fill="FFFFFF"/>
            <w:vAlign w:val="center"/>
          </w:tcPr>
          <w:p>
            <w:pPr>
              <w:jc w:val="left"/>
              <w:rPr>
                <w:rFonts w:ascii="宋体" w:hAnsi="宋体" w:cs="宋体"/>
                <w:color w:val="000000"/>
                <w:sz w:val="16"/>
                <w:szCs w:val="16"/>
              </w:rPr>
            </w:pPr>
            <w:bookmarkStart w:id="0" w:name="_GoBack"/>
            <w:bookmarkEnd w:id="0"/>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505" w:type="dxa"/>
            <w:gridSpan w:val="9"/>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清单  第100章  合计   人民币           元</w:t>
            </w:r>
          </w:p>
        </w:tc>
      </w:tr>
      <w:tr>
        <w:tblPrEx>
          <w:tblCellMar>
            <w:top w:w="0" w:type="dxa"/>
            <w:left w:w="108" w:type="dxa"/>
            <w:bottom w:w="0" w:type="dxa"/>
            <w:right w:w="108" w:type="dxa"/>
          </w:tblCellMar>
        </w:tblPrEx>
        <w:trPr>
          <w:trHeight w:val="560" w:hRule="atLeast"/>
        </w:trPr>
        <w:tc>
          <w:tcPr>
            <w:tcW w:w="8505" w:type="dxa"/>
            <w:gridSpan w:val="9"/>
            <w:tcBorders>
              <w:top w:val="nil"/>
              <w:left w:val="nil"/>
              <w:bottom w:val="nil"/>
              <w:right w:val="nil"/>
            </w:tcBorders>
            <w:shd w:val="clear" w:color="auto" w:fill="FFFFFF"/>
          </w:tcPr>
          <w:p>
            <w:pPr>
              <w:widowControl/>
              <w:jc w:val="center"/>
              <w:textAlignment w:val="top"/>
              <w:rPr>
                <w:rFonts w:ascii="宋体" w:hAnsi="宋体" w:cs="宋体"/>
                <w:b/>
                <w:bCs/>
                <w:color w:val="000000"/>
                <w:kern w:val="0"/>
                <w:sz w:val="36"/>
                <w:szCs w:val="36"/>
              </w:rPr>
            </w:pPr>
            <w:r>
              <w:rPr>
                <w:rFonts w:hint="eastAsia" w:ascii="宋体" w:hAnsi="宋体" w:cs="宋体"/>
                <w:b/>
                <w:bCs/>
                <w:color w:val="000000"/>
                <w:kern w:val="0"/>
                <w:sz w:val="36"/>
                <w:szCs w:val="36"/>
              </w:rPr>
              <w:t>工程量清单表</w:t>
            </w:r>
          </w:p>
          <w:p>
            <w:pPr>
              <w:widowControl/>
              <w:jc w:val="left"/>
              <w:textAlignment w:val="top"/>
              <w:rPr>
                <w:rFonts w:ascii="宋体" w:hAnsi="宋体" w:cs="宋体"/>
                <w:b/>
                <w:bCs/>
                <w:color w:val="000000"/>
                <w:kern w:val="0"/>
                <w:sz w:val="16"/>
                <w:szCs w:val="16"/>
              </w:rPr>
            </w:pPr>
          </w:p>
          <w:p>
            <w:pPr>
              <w:widowControl/>
              <w:jc w:val="left"/>
              <w:textAlignment w:val="top"/>
              <w:rPr>
                <w:rFonts w:ascii="宋体" w:hAnsi="宋体" w:cs="宋体"/>
                <w:b/>
                <w:bCs/>
                <w:color w:val="000000"/>
                <w:kern w:val="0"/>
                <w:sz w:val="16"/>
                <w:szCs w:val="16"/>
              </w:rPr>
            </w:pPr>
            <w:r>
              <w:rPr>
                <w:rFonts w:hint="eastAsia" w:ascii="宋体" w:hAnsi="宋体" w:cs="宋体"/>
                <w:color w:val="000000"/>
                <w:kern w:val="0"/>
                <w:sz w:val="16"/>
                <w:szCs w:val="16"/>
              </w:rPr>
              <w:t xml:space="preserve">合同顿：鞍山市2021年黑大线冉家堡桥、草鞍线倪家台桥维修加固工程一标段                             标表2                                    </w:t>
            </w:r>
          </w:p>
        </w:tc>
      </w:tr>
      <w:tr>
        <w:tblPrEx>
          <w:tblCellMar>
            <w:top w:w="0" w:type="dxa"/>
            <w:left w:w="108" w:type="dxa"/>
            <w:bottom w:w="0" w:type="dxa"/>
            <w:right w:w="108" w:type="dxa"/>
          </w:tblCellMar>
        </w:tblPrEx>
        <w:trPr>
          <w:trHeight w:val="440" w:hRule="atLeast"/>
        </w:trPr>
        <w:tc>
          <w:tcPr>
            <w:tcW w:w="8505" w:type="dxa"/>
            <w:gridSpan w:val="9"/>
            <w:tcBorders>
              <w:top w:val="single" w:color="000000" w:sz="8" w:space="0"/>
              <w:left w:val="single" w:color="000000" w:sz="8" w:space="0"/>
              <w:bottom w:val="single" w:color="000000" w:sz="4" w:space="0"/>
              <w:right w:val="single" w:color="000000" w:sz="8" w:space="0"/>
            </w:tcBorders>
            <w:shd w:val="clear" w:color="auto" w:fill="FFFFFF"/>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清单  第200章  路 基</w:t>
            </w:r>
          </w:p>
        </w:tc>
      </w:tr>
      <w:tr>
        <w:tblPrEx>
          <w:tblCellMar>
            <w:top w:w="0" w:type="dxa"/>
            <w:left w:w="108" w:type="dxa"/>
            <w:bottom w:w="0" w:type="dxa"/>
            <w:right w:w="108" w:type="dxa"/>
          </w:tblCellMar>
        </w:tblPrEx>
        <w:trPr>
          <w:trHeight w:val="34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子目号</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子目名称</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单位</w:t>
            </w:r>
          </w:p>
        </w:tc>
        <w:tc>
          <w:tcPr>
            <w:tcW w:w="112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数量</w:t>
            </w:r>
          </w:p>
        </w:tc>
        <w:tc>
          <w:tcPr>
            <w:tcW w:w="1045"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单价</w:t>
            </w:r>
          </w:p>
        </w:tc>
        <w:tc>
          <w:tcPr>
            <w:tcW w:w="1049" w:type="dxa"/>
            <w:tcBorders>
              <w:top w:val="nil"/>
              <w:left w:val="nil"/>
              <w:bottom w:val="single" w:color="000000" w:sz="4" w:space="0"/>
              <w:right w:val="single" w:color="000000" w:sz="8"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合价</w:t>
            </w: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202</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场地清理</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202-2</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挖除旧路面</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m3</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cs="Arial Narrow" w:eastAsiaTheme="minorEastAsia"/>
                <w:color w:val="000000"/>
                <w:sz w:val="16"/>
                <w:szCs w:val="16"/>
              </w:rPr>
            </w:pPr>
            <w:r>
              <w:rPr>
                <w:rFonts w:hint="eastAsia" w:ascii="Arial Narrow" w:hAnsi="Arial Narrow" w:cs="Arial Narrow" w:eastAsiaTheme="minorEastAsia"/>
                <w:color w:val="000000"/>
                <w:kern w:val="0"/>
                <w:sz w:val="16"/>
                <w:szCs w:val="16"/>
              </w:rPr>
              <w:t>375.6</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202-3</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拆除结构物（桥）</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w:t>
            </w:r>
            <w:r>
              <w:rPr>
                <w:rFonts w:ascii="宋体" w:hAnsi="宋体" w:cs="宋体"/>
                <w:color w:val="000000"/>
                <w:kern w:val="0"/>
                <w:sz w:val="16"/>
                <w:szCs w:val="16"/>
              </w:rPr>
              <w:t>a</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拆除混凝土</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m3</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1539.300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-b</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拆除污工</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m3</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58.000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203</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挖方路基</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203-2</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挖方</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-a</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基坑开挖</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m3</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210.600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204-1</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透水性材料</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m3</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80.000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6803" w:hRule="atLeast"/>
        </w:trPr>
        <w:tc>
          <w:tcPr>
            <w:tcW w:w="877" w:type="dxa"/>
            <w:gridSpan w:val="2"/>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3713" w:type="dxa"/>
            <w:gridSpan w:val="2"/>
            <w:vMerge w:val="restart"/>
            <w:tcBorders>
              <w:top w:val="nil"/>
              <w:left w:val="nil"/>
              <w:bottom w:val="single" w:color="000000" w:sz="4" w:space="0"/>
              <w:right w:val="single" w:color="000000" w:sz="4" w:space="0"/>
            </w:tcBorders>
            <w:shd w:val="clear" w:color="auto" w:fill="FFFFFF"/>
            <w:vAlign w:val="center"/>
          </w:tcPr>
          <w:p>
            <w:pPr>
              <w:jc w:val="left"/>
              <w:rPr>
                <w:rFonts w:ascii="宋体" w:hAnsi="宋体" w:cs="宋体"/>
                <w:color w:val="000000"/>
                <w:sz w:val="16"/>
                <w:szCs w:val="16"/>
              </w:rPr>
            </w:pPr>
          </w:p>
        </w:tc>
        <w:tc>
          <w:tcPr>
            <w:tcW w:w="700" w:type="dxa"/>
            <w:vMerge w:val="restart"/>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vMerge w:val="restart"/>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vMerge w:val="restart"/>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vMerge w:val="restart"/>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2080" w:hRule="atLeast"/>
        </w:trPr>
        <w:tc>
          <w:tcPr>
            <w:tcW w:w="877" w:type="dxa"/>
            <w:gridSpan w:val="2"/>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3713" w:type="dxa"/>
            <w:gridSpan w:val="2"/>
            <w:vMerge w:val="continue"/>
            <w:tcBorders>
              <w:top w:val="nil"/>
              <w:left w:val="nil"/>
              <w:bottom w:val="single" w:color="000000" w:sz="4" w:space="0"/>
              <w:right w:val="single" w:color="000000" w:sz="4" w:space="0"/>
            </w:tcBorders>
            <w:shd w:val="clear" w:color="auto" w:fill="FFFFFF"/>
            <w:vAlign w:val="center"/>
          </w:tcPr>
          <w:p>
            <w:pPr>
              <w:jc w:val="left"/>
              <w:rPr>
                <w:rFonts w:ascii="宋体" w:hAnsi="宋体" w:cs="宋体"/>
                <w:color w:val="000000"/>
                <w:sz w:val="16"/>
                <w:szCs w:val="16"/>
              </w:rPr>
            </w:pPr>
          </w:p>
        </w:tc>
        <w:tc>
          <w:tcPr>
            <w:tcW w:w="700" w:type="dxa"/>
            <w:vMerge w:val="continue"/>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vMerge w:val="continue"/>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vMerge w:val="continue"/>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vMerge w:val="continue"/>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505" w:type="dxa"/>
            <w:gridSpan w:val="9"/>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清单  第200章  合计   人民币           元</w:t>
            </w:r>
          </w:p>
        </w:tc>
      </w:tr>
      <w:tr>
        <w:tblPrEx>
          <w:tblCellMar>
            <w:top w:w="0" w:type="dxa"/>
            <w:left w:w="108" w:type="dxa"/>
            <w:bottom w:w="0" w:type="dxa"/>
            <w:right w:w="108" w:type="dxa"/>
          </w:tblCellMar>
        </w:tblPrEx>
        <w:trPr>
          <w:trHeight w:val="560" w:hRule="atLeast"/>
        </w:trPr>
        <w:tc>
          <w:tcPr>
            <w:tcW w:w="8505" w:type="dxa"/>
            <w:gridSpan w:val="9"/>
            <w:tcBorders>
              <w:top w:val="nil"/>
              <w:left w:val="nil"/>
              <w:bottom w:val="nil"/>
              <w:right w:val="nil"/>
            </w:tcBorders>
            <w:shd w:val="clear" w:color="auto" w:fill="FFFFFF"/>
          </w:tcPr>
          <w:p>
            <w:pPr>
              <w:widowControl/>
              <w:jc w:val="center"/>
              <w:textAlignment w:val="top"/>
              <w:rPr>
                <w:rFonts w:ascii="宋体" w:hAnsi="宋体" w:cs="宋体"/>
                <w:b/>
                <w:bCs/>
                <w:color w:val="000000"/>
                <w:kern w:val="0"/>
                <w:sz w:val="36"/>
                <w:szCs w:val="36"/>
              </w:rPr>
            </w:pPr>
            <w:r>
              <w:rPr>
                <w:rFonts w:hint="eastAsia" w:ascii="宋体" w:hAnsi="宋体" w:cs="宋体"/>
                <w:b/>
                <w:bCs/>
                <w:color w:val="000000"/>
                <w:kern w:val="0"/>
                <w:sz w:val="36"/>
                <w:szCs w:val="36"/>
              </w:rPr>
              <w:t>工程量清单表</w:t>
            </w:r>
          </w:p>
          <w:p>
            <w:pPr>
              <w:widowControl/>
              <w:jc w:val="left"/>
              <w:textAlignment w:val="top"/>
              <w:rPr>
                <w:rFonts w:ascii="宋体" w:hAnsi="宋体" w:cs="宋体"/>
                <w:b/>
                <w:bCs/>
                <w:color w:val="000000"/>
                <w:kern w:val="0"/>
                <w:sz w:val="16"/>
                <w:szCs w:val="16"/>
              </w:rPr>
            </w:pPr>
            <w:r>
              <w:rPr>
                <w:rFonts w:hint="eastAsia" w:ascii="宋体" w:hAnsi="宋体" w:cs="宋体"/>
                <w:color w:val="000000"/>
                <w:kern w:val="0"/>
                <w:sz w:val="16"/>
                <w:szCs w:val="16"/>
              </w:rPr>
              <w:t xml:space="preserve">合同顿：鞍山市2021年黑大线冉家堡桥、草鞍线倪家台桥维修加固工程一标段                            标表2                                     </w:t>
            </w:r>
          </w:p>
        </w:tc>
      </w:tr>
      <w:tr>
        <w:tblPrEx>
          <w:tblCellMar>
            <w:top w:w="0" w:type="dxa"/>
            <w:left w:w="108" w:type="dxa"/>
            <w:bottom w:w="0" w:type="dxa"/>
            <w:right w:w="108" w:type="dxa"/>
          </w:tblCellMar>
        </w:tblPrEx>
        <w:trPr>
          <w:trHeight w:val="440" w:hRule="atLeast"/>
        </w:trPr>
        <w:tc>
          <w:tcPr>
            <w:tcW w:w="8505" w:type="dxa"/>
            <w:gridSpan w:val="9"/>
            <w:tcBorders>
              <w:top w:val="single" w:color="000000" w:sz="8" w:space="0"/>
              <w:left w:val="single" w:color="000000" w:sz="8" w:space="0"/>
              <w:bottom w:val="single" w:color="000000" w:sz="4" w:space="0"/>
              <w:right w:val="single" w:color="000000" w:sz="8" w:space="0"/>
            </w:tcBorders>
            <w:shd w:val="clear" w:color="auto" w:fill="FFFFFF"/>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清单  第300章  路 面</w:t>
            </w:r>
          </w:p>
        </w:tc>
      </w:tr>
      <w:tr>
        <w:tblPrEx>
          <w:tblCellMar>
            <w:top w:w="0" w:type="dxa"/>
            <w:left w:w="108" w:type="dxa"/>
            <w:bottom w:w="0" w:type="dxa"/>
            <w:right w:w="108" w:type="dxa"/>
          </w:tblCellMar>
        </w:tblPrEx>
        <w:trPr>
          <w:trHeight w:val="34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子目号</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子目名称</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单位</w:t>
            </w:r>
          </w:p>
        </w:tc>
        <w:tc>
          <w:tcPr>
            <w:tcW w:w="112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数量</w:t>
            </w:r>
          </w:p>
        </w:tc>
        <w:tc>
          <w:tcPr>
            <w:tcW w:w="1045"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单价</w:t>
            </w:r>
          </w:p>
        </w:tc>
        <w:tc>
          <w:tcPr>
            <w:tcW w:w="1049" w:type="dxa"/>
            <w:tcBorders>
              <w:top w:val="nil"/>
              <w:left w:val="nil"/>
              <w:bottom w:val="single" w:color="000000" w:sz="4" w:space="0"/>
              <w:right w:val="single" w:color="000000" w:sz="8"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合价</w:t>
            </w: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302</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sz w:val="16"/>
                <w:szCs w:val="16"/>
              </w:rPr>
              <w:t>垫层</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302-2</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sz w:val="16"/>
                <w:szCs w:val="16"/>
              </w:rPr>
              <w:t>水泥砂砾垫层</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-a</w:t>
            </w:r>
          </w:p>
        </w:tc>
        <w:tc>
          <w:tcPr>
            <w:tcW w:w="3713" w:type="dxa"/>
            <w:gridSpan w:val="2"/>
            <w:tcBorders>
              <w:top w:val="nil"/>
              <w:left w:val="nil"/>
              <w:bottom w:val="single" w:color="000000" w:sz="4" w:space="0"/>
              <w:right w:val="single" w:color="000000" w:sz="4" w:space="0"/>
            </w:tcBorders>
            <w:shd w:val="clear" w:color="auto" w:fill="FFFFFF"/>
            <w:vAlign w:val="center"/>
          </w:tcPr>
          <w:p>
            <w:pPr>
              <w:jc w:val="left"/>
              <w:rPr>
                <w:rFonts w:ascii="宋体" w:hAnsi="宋体" w:cs="宋体"/>
                <w:color w:val="000000"/>
                <w:sz w:val="16"/>
                <w:szCs w:val="16"/>
              </w:rPr>
            </w:pPr>
            <w:r>
              <w:rPr>
                <w:rFonts w:hint="eastAsia" w:ascii="宋体" w:hAnsi="宋体" w:cs="宋体"/>
                <w:color w:val="000000"/>
                <w:sz w:val="16"/>
                <w:szCs w:val="16"/>
              </w:rPr>
              <w:t>掺8%水泥砂砾垫层</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m3</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cs="Arial Narrow" w:eastAsiaTheme="minorEastAsia"/>
                <w:color w:val="000000"/>
                <w:sz w:val="16"/>
                <w:szCs w:val="16"/>
              </w:rPr>
            </w:pPr>
            <w:r>
              <w:rPr>
                <w:rFonts w:hint="eastAsia" w:ascii="Arial Narrow" w:hAnsi="Arial Narrow" w:eastAsia="Arial Narrow" w:cs="Arial Narrow"/>
                <w:color w:val="000000"/>
                <w:kern w:val="0"/>
                <w:sz w:val="16"/>
                <w:szCs w:val="16"/>
              </w:rPr>
              <w:t>496.5</w:t>
            </w:r>
            <w:r>
              <w:rPr>
                <w:rFonts w:hint="eastAsia" w:ascii="Arial Narrow" w:hAnsi="Arial Narrow" w:cs="Arial Narrow" w:eastAsiaTheme="minorEastAsia"/>
                <w:color w:val="000000"/>
                <w:kern w:val="0"/>
                <w:sz w:val="16"/>
                <w:szCs w:val="16"/>
              </w:rPr>
              <w:t>00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308</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透层和黏层</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308-1</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黏层</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m2</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3700.000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310</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封层</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310-1</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橡胶沥青封层</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m2</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3700.000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311</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桥面铺装沥青混凝土</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311-1</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6cm中粒式改性沥青混凝土</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r>
              <w:rPr>
                <w:rFonts w:hint="eastAsia" w:ascii="宋体" w:hAnsi="宋体" w:cs="宋体"/>
                <w:color w:val="000000"/>
                <w:kern w:val="0"/>
                <w:sz w:val="16"/>
                <w:szCs w:val="16"/>
              </w:rPr>
              <w:t>m2</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cs="Arial Narrow" w:eastAsiaTheme="minorEastAsia"/>
                <w:color w:val="000000"/>
                <w:sz w:val="16"/>
                <w:szCs w:val="16"/>
              </w:rPr>
            </w:pPr>
            <w:r>
              <w:rPr>
                <w:rFonts w:hint="eastAsia" w:ascii="Arial Narrow" w:hAnsi="Arial Narrow" w:cs="Arial Narrow" w:eastAsiaTheme="minorEastAsia"/>
                <w:color w:val="000000"/>
                <w:sz w:val="16"/>
                <w:szCs w:val="16"/>
              </w:rPr>
              <w:t>3700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311-2</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4cm细粒式改性沥青混凝土</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m2</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cs="Arial Narrow" w:eastAsiaTheme="minorEastAsia"/>
                <w:color w:val="000000"/>
                <w:sz w:val="16"/>
                <w:szCs w:val="16"/>
              </w:rPr>
            </w:pPr>
            <w:r>
              <w:rPr>
                <w:rFonts w:hint="eastAsia" w:ascii="Arial Narrow" w:hAnsi="Arial Narrow" w:cs="Arial Narrow" w:eastAsiaTheme="minorEastAsia"/>
                <w:color w:val="000000"/>
                <w:kern w:val="0"/>
                <w:sz w:val="16"/>
                <w:szCs w:val="16"/>
              </w:rPr>
              <w:t>3700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7370" w:hRule="atLeast"/>
        </w:trPr>
        <w:tc>
          <w:tcPr>
            <w:tcW w:w="877" w:type="dxa"/>
            <w:gridSpan w:val="2"/>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3713" w:type="dxa"/>
            <w:gridSpan w:val="2"/>
            <w:vMerge w:val="restart"/>
            <w:tcBorders>
              <w:top w:val="nil"/>
              <w:left w:val="nil"/>
              <w:bottom w:val="single" w:color="000000" w:sz="4" w:space="0"/>
              <w:right w:val="single" w:color="000000" w:sz="4" w:space="0"/>
            </w:tcBorders>
            <w:shd w:val="clear" w:color="auto" w:fill="FFFFFF"/>
            <w:vAlign w:val="center"/>
          </w:tcPr>
          <w:p>
            <w:pPr>
              <w:jc w:val="left"/>
              <w:rPr>
                <w:rFonts w:ascii="宋体" w:hAnsi="宋体" w:cs="宋体"/>
                <w:color w:val="000000"/>
                <w:sz w:val="16"/>
                <w:szCs w:val="16"/>
              </w:rPr>
            </w:pPr>
          </w:p>
        </w:tc>
        <w:tc>
          <w:tcPr>
            <w:tcW w:w="700" w:type="dxa"/>
            <w:vMerge w:val="restart"/>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vMerge w:val="restart"/>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vMerge w:val="restart"/>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vMerge w:val="restart"/>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880" w:hRule="atLeast"/>
        </w:trPr>
        <w:tc>
          <w:tcPr>
            <w:tcW w:w="877" w:type="dxa"/>
            <w:gridSpan w:val="2"/>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3713" w:type="dxa"/>
            <w:gridSpan w:val="2"/>
            <w:vMerge w:val="continue"/>
            <w:tcBorders>
              <w:top w:val="nil"/>
              <w:left w:val="nil"/>
              <w:bottom w:val="single" w:color="000000" w:sz="4" w:space="0"/>
              <w:right w:val="single" w:color="000000" w:sz="4" w:space="0"/>
            </w:tcBorders>
            <w:shd w:val="clear" w:color="auto" w:fill="FFFFFF"/>
            <w:vAlign w:val="center"/>
          </w:tcPr>
          <w:p>
            <w:pPr>
              <w:jc w:val="left"/>
              <w:rPr>
                <w:rFonts w:ascii="宋体" w:hAnsi="宋体" w:cs="宋体"/>
                <w:color w:val="000000"/>
                <w:sz w:val="16"/>
                <w:szCs w:val="16"/>
              </w:rPr>
            </w:pPr>
          </w:p>
        </w:tc>
        <w:tc>
          <w:tcPr>
            <w:tcW w:w="700" w:type="dxa"/>
            <w:vMerge w:val="continue"/>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vMerge w:val="continue"/>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vMerge w:val="continue"/>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vMerge w:val="continue"/>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505" w:type="dxa"/>
            <w:gridSpan w:val="9"/>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清单  第300章  合计   人民币           元</w:t>
            </w:r>
          </w:p>
        </w:tc>
      </w:tr>
      <w:tr>
        <w:tblPrEx>
          <w:tblCellMar>
            <w:top w:w="0" w:type="dxa"/>
            <w:left w:w="108" w:type="dxa"/>
            <w:bottom w:w="0" w:type="dxa"/>
            <w:right w:w="108" w:type="dxa"/>
          </w:tblCellMar>
        </w:tblPrEx>
        <w:trPr>
          <w:trHeight w:val="560" w:hRule="atLeast"/>
        </w:trPr>
        <w:tc>
          <w:tcPr>
            <w:tcW w:w="8505" w:type="dxa"/>
            <w:gridSpan w:val="9"/>
            <w:tcBorders>
              <w:top w:val="nil"/>
              <w:left w:val="nil"/>
              <w:bottom w:val="nil"/>
              <w:right w:val="nil"/>
            </w:tcBorders>
            <w:shd w:val="clear" w:color="auto" w:fill="FFFFFF"/>
          </w:tcPr>
          <w:p>
            <w:pPr>
              <w:widowControl/>
              <w:jc w:val="center"/>
              <w:textAlignment w:val="top"/>
              <w:rPr>
                <w:rFonts w:hint="eastAsia" w:ascii="宋体" w:hAnsi="宋体" w:cs="宋体"/>
                <w:b/>
                <w:bCs/>
                <w:color w:val="000000"/>
                <w:kern w:val="0"/>
                <w:sz w:val="36"/>
                <w:szCs w:val="36"/>
              </w:rPr>
            </w:pPr>
          </w:p>
          <w:p>
            <w:pPr>
              <w:widowControl/>
              <w:jc w:val="center"/>
              <w:textAlignment w:val="top"/>
              <w:rPr>
                <w:rFonts w:ascii="宋体" w:hAnsi="宋体" w:cs="宋体"/>
                <w:b/>
                <w:bCs/>
                <w:color w:val="000000"/>
                <w:kern w:val="0"/>
                <w:sz w:val="36"/>
                <w:szCs w:val="36"/>
              </w:rPr>
            </w:pPr>
            <w:r>
              <w:rPr>
                <w:rFonts w:hint="eastAsia" w:ascii="宋体" w:hAnsi="宋体" w:cs="宋体"/>
                <w:b/>
                <w:bCs/>
                <w:color w:val="000000"/>
                <w:kern w:val="0"/>
                <w:sz w:val="36"/>
                <w:szCs w:val="36"/>
              </w:rPr>
              <w:t>工程量清单表</w:t>
            </w:r>
          </w:p>
          <w:p>
            <w:pPr>
              <w:widowControl/>
              <w:jc w:val="left"/>
              <w:textAlignment w:val="top"/>
              <w:rPr>
                <w:rFonts w:ascii="宋体" w:hAnsi="宋体" w:cs="宋体"/>
                <w:b/>
                <w:bCs/>
                <w:color w:val="000000"/>
                <w:kern w:val="0"/>
                <w:sz w:val="16"/>
                <w:szCs w:val="16"/>
              </w:rPr>
            </w:pPr>
            <w:r>
              <w:rPr>
                <w:rFonts w:hint="eastAsia" w:ascii="宋体" w:hAnsi="宋体" w:cs="宋体"/>
                <w:color w:val="000000"/>
                <w:kern w:val="0"/>
                <w:sz w:val="16"/>
                <w:szCs w:val="16"/>
              </w:rPr>
              <w:t xml:space="preserve">合同顿：鞍山市2021年黑大线冉家堡桥、草鞍线倪家台桥维修加固工程一标段                          标表2                                       </w:t>
            </w:r>
          </w:p>
        </w:tc>
      </w:tr>
      <w:tr>
        <w:tblPrEx>
          <w:tblCellMar>
            <w:top w:w="0" w:type="dxa"/>
            <w:left w:w="108" w:type="dxa"/>
            <w:bottom w:w="0" w:type="dxa"/>
            <w:right w:w="108" w:type="dxa"/>
          </w:tblCellMar>
        </w:tblPrEx>
        <w:trPr>
          <w:trHeight w:val="440" w:hRule="atLeast"/>
        </w:trPr>
        <w:tc>
          <w:tcPr>
            <w:tcW w:w="8505" w:type="dxa"/>
            <w:gridSpan w:val="9"/>
            <w:tcBorders>
              <w:top w:val="single" w:color="000000" w:sz="8" w:space="0"/>
              <w:left w:val="single" w:color="000000" w:sz="8" w:space="0"/>
              <w:bottom w:val="single" w:color="000000" w:sz="4" w:space="0"/>
              <w:right w:val="single" w:color="000000" w:sz="8" w:space="0"/>
            </w:tcBorders>
            <w:shd w:val="clear" w:color="auto" w:fill="FFFFFF"/>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清单  第400章  桥梁、涵洞</w:t>
            </w:r>
          </w:p>
        </w:tc>
      </w:tr>
      <w:tr>
        <w:tblPrEx>
          <w:tblCellMar>
            <w:top w:w="0" w:type="dxa"/>
            <w:left w:w="108" w:type="dxa"/>
            <w:bottom w:w="0" w:type="dxa"/>
            <w:right w:w="108" w:type="dxa"/>
          </w:tblCellMar>
        </w:tblPrEx>
        <w:trPr>
          <w:trHeight w:val="34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子目号</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子目名称</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单位</w:t>
            </w:r>
          </w:p>
        </w:tc>
        <w:tc>
          <w:tcPr>
            <w:tcW w:w="112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数量</w:t>
            </w:r>
          </w:p>
        </w:tc>
        <w:tc>
          <w:tcPr>
            <w:tcW w:w="1045"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单价</w:t>
            </w:r>
          </w:p>
        </w:tc>
        <w:tc>
          <w:tcPr>
            <w:tcW w:w="1049" w:type="dxa"/>
            <w:tcBorders>
              <w:top w:val="nil"/>
              <w:left w:val="nil"/>
              <w:bottom w:val="single" w:color="000000" w:sz="4" w:space="0"/>
              <w:right w:val="single" w:color="000000" w:sz="8"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合价</w:t>
            </w: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403</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钢筋</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403-2</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下部结构钢筋</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-a</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光圆钢筋（HPB235、HPB300）</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kg</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97.320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-b</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带肋钢筋（HRB335、HRB400）</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kg</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24165.560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-c</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植筋钻孔</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593.920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403-3</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上部结构钢筋</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-a</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光圆钢筋（HPB235、HPB300）</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kg</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4551.120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-b</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带肋钢筋（HRB335、HRB400）</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kg</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cs="Arial Narrow" w:eastAsiaTheme="minorEastAsia"/>
                <w:color w:val="000000"/>
                <w:sz w:val="16"/>
                <w:szCs w:val="16"/>
              </w:rPr>
            </w:pPr>
            <w:r>
              <w:rPr>
                <w:rFonts w:ascii="Arial Narrow" w:hAnsi="Arial Narrow" w:eastAsia="Arial Narrow" w:cs="Arial Narrow"/>
                <w:color w:val="000000"/>
                <w:kern w:val="0"/>
                <w:sz w:val="16"/>
                <w:szCs w:val="16"/>
              </w:rPr>
              <w:t>250224.41</w:t>
            </w:r>
            <w:r>
              <w:rPr>
                <w:rFonts w:hint="eastAsia" w:ascii="Arial Narrow" w:hAnsi="Arial Narrow" w:cs="Arial Narrow" w:eastAsiaTheme="minorEastAsia"/>
                <w:color w:val="000000"/>
                <w:kern w:val="0"/>
                <w:sz w:val="16"/>
                <w:szCs w:val="16"/>
              </w:rPr>
              <w:t>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403-</w:t>
            </w:r>
            <w:r>
              <w:rPr>
                <w:rFonts w:ascii="宋体" w:hAnsi="宋体" w:cs="宋体"/>
                <w:color w:val="000000"/>
                <w:kern w:val="0"/>
                <w:sz w:val="16"/>
                <w:szCs w:val="16"/>
              </w:rPr>
              <w:t>4</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附属结构钢筋</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-a</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光圆钢筋（HPB235、HPB300）</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kg</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cs="Arial Narrow" w:eastAsiaTheme="minorEastAsia"/>
                <w:color w:val="000000"/>
                <w:sz w:val="16"/>
                <w:szCs w:val="16"/>
              </w:rPr>
            </w:pPr>
            <w:r>
              <w:rPr>
                <w:rFonts w:hint="eastAsia" w:ascii="Arial Narrow" w:hAnsi="Arial Narrow" w:cs="Arial Narrow" w:eastAsiaTheme="minorEastAsia"/>
                <w:color w:val="000000"/>
                <w:kern w:val="0"/>
                <w:sz w:val="16"/>
                <w:szCs w:val="16"/>
              </w:rPr>
              <w:t>141.180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-b</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带肋钢筋（HRB335、HRB400）</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kg</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cs="Arial Narrow" w:eastAsiaTheme="minorEastAsia"/>
                <w:color w:val="000000"/>
                <w:sz w:val="16"/>
                <w:szCs w:val="16"/>
              </w:rPr>
            </w:pPr>
            <w:r>
              <w:rPr>
                <w:rFonts w:hint="eastAsia" w:ascii="Arial Narrow" w:hAnsi="Arial Narrow" w:cs="Arial Narrow" w:eastAsiaTheme="minorEastAsia"/>
                <w:color w:val="000000"/>
                <w:sz w:val="16"/>
                <w:szCs w:val="16"/>
              </w:rPr>
              <w:t>24426.110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410</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结构混凝土工程</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410-2</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混凝土下部结构（桥台、桥墩、盖梁、台帽）等</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-a</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混凝土c40</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m3</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224.530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410-3</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现浇混凝土上部结构(梁、墩顶、引导等）</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-a</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c50砼</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m3</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cs="Arial Narrow" w:eastAsiaTheme="minorEastAsia"/>
                <w:color w:val="000000"/>
                <w:sz w:val="16"/>
                <w:szCs w:val="16"/>
              </w:rPr>
            </w:pPr>
            <w:r>
              <w:rPr>
                <w:rFonts w:hint="eastAsia" w:ascii="Arial Narrow" w:hAnsi="Arial Narrow" w:cs="Arial Narrow" w:eastAsiaTheme="minorEastAsia"/>
                <w:color w:val="000000"/>
                <w:kern w:val="0"/>
                <w:sz w:val="16"/>
                <w:szCs w:val="16"/>
              </w:rPr>
              <w:t>189.920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410-4</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预制安装C50混凝土T梁</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m3</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714.330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ascii="宋体" w:hAnsi="宋体" w:cs="宋体"/>
                <w:color w:val="000000"/>
                <w:kern w:val="0"/>
                <w:sz w:val="16"/>
                <w:szCs w:val="16"/>
              </w:rPr>
            </w:pPr>
            <w:r>
              <w:rPr>
                <w:rFonts w:hint="eastAsia" w:ascii="宋体" w:hAnsi="宋体" w:cs="宋体"/>
                <w:color w:val="000000"/>
                <w:kern w:val="0"/>
                <w:sz w:val="16"/>
                <w:szCs w:val="16"/>
              </w:rPr>
              <w:t>410-6</w:t>
            </w:r>
          </w:p>
        </w:tc>
        <w:tc>
          <w:tcPr>
            <w:tcW w:w="3713" w:type="dxa"/>
            <w:gridSpan w:val="2"/>
            <w:tcBorders>
              <w:top w:val="nil"/>
              <w:left w:val="nil"/>
              <w:bottom w:val="single" w:color="000000" w:sz="4" w:space="0"/>
              <w:right w:val="single" w:color="000000" w:sz="4" w:space="0"/>
            </w:tcBorders>
            <w:shd w:val="clear" w:color="auto" w:fill="FFFFFF"/>
            <w:vAlign w:val="center"/>
          </w:tcPr>
          <w:p>
            <w:pPr>
              <w:rPr>
                <w:rFonts w:ascii="宋体" w:hAnsi="宋体" w:cs="宋体"/>
                <w:color w:val="000000"/>
                <w:kern w:val="0"/>
                <w:sz w:val="16"/>
                <w:szCs w:val="16"/>
              </w:rPr>
            </w:pPr>
            <w:r>
              <w:rPr>
                <w:rFonts w:hint="eastAsia" w:ascii="宋体" w:hAnsi="宋体" w:cs="宋体"/>
                <w:color w:val="000000"/>
                <w:kern w:val="0"/>
                <w:sz w:val="16"/>
                <w:szCs w:val="16"/>
              </w:rPr>
              <w:t>现浇混凝土附属结构</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-a</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混凝土c15</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m3</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cs="Arial Narrow" w:eastAsiaTheme="minorEastAsia"/>
                <w:color w:val="000000"/>
                <w:sz w:val="16"/>
                <w:szCs w:val="16"/>
              </w:rPr>
            </w:pPr>
            <w:r>
              <w:rPr>
                <w:rFonts w:hint="eastAsia" w:ascii="Arial Narrow" w:hAnsi="Arial Narrow" w:cs="Arial Narrow" w:eastAsiaTheme="minorEastAsia"/>
                <w:color w:val="000000"/>
                <w:sz w:val="16"/>
                <w:szCs w:val="16"/>
              </w:rPr>
              <w:t>78.200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-b</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混凝土c30</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m3</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cs="Arial Narrow" w:eastAsiaTheme="minorEastAsia"/>
                <w:color w:val="000000"/>
                <w:sz w:val="16"/>
                <w:szCs w:val="16"/>
              </w:rPr>
            </w:pPr>
            <w:r>
              <w:rPr>
                <w:rFonts w:hint="eastAsia" w:ascii="Arial Narrow" w:hAnsi="Arial Narrow" w:cs="Arial Narrow" w:eastAsiaTheme="minorEastAsia"/>
                <w:color w:val="000000"/>
                <w:sz w:val="16"/>
                <w:szCs w:val="16"/>
              </w:rPr>
              <w:t>71.100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-c</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混凝土c40</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m3</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cs="Arial Narrow" w:eastAsiaTheme="minorEastAsia"/>
                <w:color w:val="000000"/>
                <w:sz w:val="16"/>
                <w:szCs w:val="16"/>
              </w:rPr>
            </w:pPr>
            <w:r>
              <w:rPr>
                <w:rFonts w:hint="eastAsia" w:ascii="Arial Narrow" w:hAnsi="Arial Narrow" w:cs="Arial Narrow" w:eastAsiaTheme="minorEastAsia"/>
                <w:color w:val="000000"/>
                <w:sz w:val="16"/>
                <w:szCs w:val="16"/>
              </w:rPr>
              <w:t>105.400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ascii="宋体" w:hAnsi="宋体" w:cs="宋体"/>
                <w:color w:val="000000"/>
                <w:kern w:val="0"/>
                <w:sz w:val="16"/>
                <w:szCs w:val="16"/>
              </w:rPr>
            </w:pPr>
            <w:r>
              <w:rPr>
                <w:rFonts w:hint="eastAsia" w:ascii="宋体" w:hAnsi="宋体" w:cs="宋体"/>
                <w:color w:val="000000"/>
                <w:kern w:val="0"/>
                <w:sz w:val="16"/>
                <w:szCs w:val="16"/>
              </w:rPr>
              <w:t>411-5</w:t>
            </w:r>
          </w:p>
        </w:tc>
        <w:tc>
          <w:tcPr>
            <w:tcW w:w="3713" w:type="dxa"/>
            <w:gridSpan w:val="2"/>
            <w:tcBorders>
              <w:top w:val="nil"/>
              <w:left w:val="nil"/>
              <w:bottom w:val="single" w:color="000000" w:sz="4" w:space="0"/>
              <w:right w:val="single" w:color="000000" w:sz="4" w:space="0"/>
            </w:tcBorders>
            <w:shd w:val="clear" w:color="auto" w:fill="FFFFFF"/>
            <w:vAlign w:val="center"/>
          </w:tcPr>
          <w:p>
            <w:pPr>
              <w:rPr>
                <w:rFonts w:ascii="宋体" w:hAnsi="宋体" w:cs="宋体"/>
                <w:color w:val="000000"/>
                <w:kern w:val="0"/>
                <w:sz w:val="16"/>
                <w:szCs w:val="16"/>
              </w:rPr>
            </w:pPr>
            <w:r>
              <w:rPr>
                <w:rFonts w:hint="eastAsia" w:ascii="宋体" w:hAnsi="宋体" w:cs="宋体"/>
                <w:color w:val="000000"/>
                <w:kern w:val="0"/>
                <w:sz w:val="16"/>
                <w:szCs w:val="16"/>
              </w:rPr>
              <w:t>后张法预应力钢绞线</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ascii="宋体" w:hAnsi="宋体" w:cs="宋体"/>
                <w:color w:val="000000"/>
                <w:kern w:val="0"/>
                <w:sz w:val="16"/>
                <w:szCs w:val="16"/>
              </w:rPr>
            </w:pPr>
            <w:r>
              <w:rPr>
                <w:rFonts w:hint="eastAsia" w:ascii="宋体" w:hAnsi="宋体" w:cs="宋体"/>
                <w:color w:val="000000"/>
                <w:kern w:val="0"/>
                <w:sz w:val="16"/>
                <w:szCs w:val="16"/>
              </w:rPr>
              <w:t>-a</w:t>
            </w:r>
          </w:p>
        </w:tc>
        <w:tc>
          <w:tcPr>
            <w:tcW w:w="3713" w:type="dxa"/>
            <w:gridSpan w:val="2"/>
            <w:tcBorders>
              <w:top w:val="nil"/>
              <w:left w:val="nil"/>
              <w:bottom w:val="single" w:color="000000" w:sz="4" w:space="0"/>
              <w:right w:val="single" w:color="000000" w:sz="4" w:space="0"/>
            </w:tcBorders>
            <w:shd w:val="clear" w:color="auto" w:fill="FFFFFF"/>
            <w:vAlign w:val="center"/>
          </w:tcPr>
          <w:p>
            <w:pPr>
              <w:rPr>
                <w:rFonts w:ascii="宋体" w:hAnsi="宋体" w:cs="宋体"/>
                <w:color w:val="000000"/>
                <w:kern w:val="0"/>
                <w:sz w:val="16"/>
                <w:szCs w:val="16"/>
              </w:rPr>
            </w:pPr>
            <w:r>
              <w:rPr>
                <w:rFonts w:hint="eastAsia" w:ascii="宋体" w:hAnsi="宋体" w:cs="宋体"/>
                <w:color w:val="000000"/>
                <w:kern w:val="0"/>
                <w:sz w:val="16"/>
                <w:szCs w:val="16"/>
              </w:rPr>
              <w:t>φ15.2钢绞线</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kg</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hint="eastAsia" w:ascii="Arial Narrow" w:hAnsi="Arial Narrow" w:cs="Arial Narrow" w:eastAsiaTheme="minorEastAsia"/>
                <w:color w:val="000000"/>
                <w:kern w:val="0"/>
                <w:sz w:val="16"/>
                <w:szCs w:val="16"/>
              </w:rPr>
              <w:t>3</w:t>
            </w:r>
            <w:r>
              <w:rPr>
                <w:rFonts w:ascii="Arial Narrow" w:hAnsi="Arial Narrow" w:eastAsia="Arial Narrow" w:cs="Arial Narrow"/>
                <w:color w:val="000000"/>
                <w:kern w:val="0"/>
                <w:sz w:val="16"/>
                <w:szCs w:val="16"/>
              </w:rPr>
              <w:t>2635.740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413</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砌石工程</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413-1</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浆砌片石（八字墙、基础、墙）</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-c</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M10片石墙</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m3</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57.680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413-2</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浆砌块石</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-a</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M10块石</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m3</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22.240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ascii="宋体" w:hAnsi="宋体" w:cs="宋体"/>
                <w:color w:val="000000"/>
                <w:kern w:val="0"/>
                <w:sz w:val="16"/>
                <w:szCs w:val="16"/>
              </w:rPr>
            </w:pPr>
            <w:r>
              <w:rPr>
                <w:rFonts w:hint="eastAsia" w:ascii="宋体" w:hAnsi="宋体" w:cs="宋体"/>
                <w:color w:val="000000"/>
                <w:kern w:val="0"/>
                <w:sz w:val="16"/>
                <w:szCs w:val="16"/>
              </w:rPr>
              <w:t>415-1</w:t>
            </w:r>
          </w:p>
        </w:tc>
        <w:tc>
          <w:tcPr>
            <w:tcW w:w="3713" w:type="dxa"/>
            <w:gridSpan w:val="2"/>
            <w:tcBorders>
              <w:top w:val="nil"/>
              <w:left w:val="nil"/>
              <w:bottom w:val="single" w:color="000000" w:sz="4" w:space="0"/>
              <w:right w:val="single" w:color="000000" w:sz="4" w:space="0"/>
            </w:tcBorders>
            <w:shd w:val="clear" w:color="auto" w:fill="FFFFFF"/>
            <w:vAlign w:val="center"/>
          </w:tcPr>
          <w:p>
            <w:pPr>
              <w:rPr>
                <w:rFonts w:ascii="宋体" w:hAnsi="宋体" w:cs="宋体"/>
                <w:color w:val="000000"/>
                <w:kern w:val="0"/>
                <w:sz w:val="16"/>
                <w:szCs w:val="16"/>
              </w:rPr>
            </w:pPr>
            <w:r>
              <w:rPr>
                <w:rFonts w:hint="eastAsia" w:ascii="宋体" w:hAnsi="宋体" w:cs="宋体"/>
                <w:color w:val="000000"/>
                <w:kern w:val="0"/>
                <w:sz w:val="16"/>
                <w:szCs w:val="16"/>
              </w:rPr>
              <w:t>水泥混凝土桥面铺装</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121"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kern w:val="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ascii="宋体" w:hAnsi="宋体" w:cs="宋体"/>
                <w:color w:val="000000"/>
                <w:kern w:val="0"/>
                <w:sz w:val="16"/>
                <w:szCs w:val="16"/>
              </w:rPr>
            </w:pPr>
            <w:r>
              <w:rPr>
                <w:rFonts w:hint="eastAsia" w:ascii="宋体" w:hAnsi="宋体" w:cs="宋体"/>
                <w:color w:val="000000"/>
                <w:kern w:val="0"/>
                <w:sz w:val="16"/>
                <w:szCs w:val="16"/>
              </w:rPr>
              <w:t>-a</w:t>
            </w:r>
          </w:p>
        </w:tc>
        <w:tc>
          <w:tcPr>
            <w:tcW w:w="3713" w:type="dxa"/>
            <w:gridSpan w:val="2"/>
            <w:tcBorders>
              <w:top w:val="nil"/>
              <w:left w:val="nil"/>
              <w:bottom w:val="single" w:color="000000" w:sz="4" w:space="0"/>
              <w:right w:val="single" w:color="000000" w:sz="4" w:space="0"/>
            </w:tcBorders>
            <w:shd w:val="clear" w:color="auto" w:fill="FFFFFF"/>
            <w:vAlign w:val="center"/>
          </w:tcPr>
          <w:p>
            <w:pPr>
              <w:rPr>
                <w:rFonts w:ascii="宋体" w:hAnsi="宋体" w:cs="宋体"/>
                <w:color w:val="000000"/>
                <w:kern w:val="0"/>
                <w:sz w:val="16"/>
                <w:szCs w:val="16"/>
              </w:rPr>
            </w:pPr>
            <w:r>
              <w:rPr>
                <w:rFonts w:hint="eastAsia" w:ascii="宋体" w:hAnsi="宋体" w:cs="宋体"/>
                <w:color w:val="000000"/>
                <w:kern w:val="0"/>
                <w:sz w:val="16"/>
                <w:szCs w:val="16"/>
              </w:rPr>
              <w:t>C50混凝土桥面铺装</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kern w:val="0"/>
                <w:sz w:val="16"/>
                <w:szCs w:val="16"/>
              </w:rPr>
            </w:pPr>
            <w:r>
              <w:rPr>
                <w:rFonts w:hint="eastAsia" w:ascii="宋体" w:hAnsi="宋体" w:cs="宋体"/>
                <w:color w:val="000000"/>
                <w:kern w:val="0"/>
                <w:sz w:val="16"/>
                <w:szCs w:val="16"/>
              </w:rPr>
              <w:t>m3</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宋体" w:hAnsi="宋体" w:cs="宋体"/>
                <w:color w:val="000000"/>
                <w:kern w:val="0"/>
                <w:sz w:val="16"/>
                <w:szCs w:val="16"/>
              </w:rPr>
            </w:pPr>
            <w:r>
              <w:rPr>
                <w:rFonts w:hint="eastAsia" w:ascii="宋体" w:hAnsi="宋体" w:cs="宋体"/>
                <w:color w:val="000000"/>
                <w:kern w:val="0"/>
                <w:sz w:val="16"/>
                <w:szCs w:val="16"/>
              </w:rPr>
              <w:t>204.100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416</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桥梁支座</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416-1</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支座</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-a</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GBZJ250*300*74mm</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dm3</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499.500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-b</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GBZJ300*400*74mm</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dm3</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266.400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13"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r>
              <w:rPr>
                <w:rFonts w:hint="eastAsia" w:ascii="宋体" w:hAnsi="宋体" w:cs="宋体"/>
                <w:color w:val="000000"/>
                <w:sz w:val="16"/>
                <w:szCs w:val="16"/>
              </w:rPr>
              <w:t>417-1</w:t>
            </w:r>
          </w:p>
        </w:tc>
        <w:tc>
          <w:tcPr>
            <w:tcW w:w="3713" w:type="dxa"/>
            <w:gridSpan w:val="2"/>
            <w:tcBorders>
              <w:top w:val="nil"/>
              <w:left w:val="nil"/>
              <w:bottom w:val="single" w:color="000000" w:sz="4" w:space="0"/>
              <w:right w:val="single" w:color="000000" w:sz="4" w:space="0"/>
            </w:tcBorders>
            <w:shd w:val="clear" w:color="auto" w:fill="FFFFFF"/>
            <w:vAlign w:val="center"/>
          </w:tcPr>
          <w:p>
            <w:pPr>
              <w:jc w:val="left"/>
              <w:rPr>
                <w:rFonts w:ascii="宋体" w:hAnsi="宋体" w:cs="宋体"/>
                <w:color w:val="000000"/>
                <w:sz w:val="16"/>
                <w:szCs w:val="16"/>
              </w:rPr>
            </w:pPr>
            <w:r>
              <w:rPr>
                <w:rFonts w:hint="eastAsia" w:ascii="宋体" w:hAnsi="宋体" w:cs="宋体"/>
                <w:color w:val="000000"/>
                <w:sz w:val="16"/>
                <w:szCs w:val="16"/>
              </w:rPr>
              <w:t>80型伸缩缝</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r>
              <w:rPr>
                <w:rFonts w:ascii="宋体" w:hAnsi="宋体" w:cs="宋体"/>
                <w:color w:val="000000"/>
                <w:sz w:val="16"/>
                <w:szCs w:val="16"/>
              </w:rPr>
              <w:t>m</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cs="Arial Narrow" w:eastAsiaTheme="minorEastAsia"/>
                <w:color w:val="000000"/>
                <w:sz w:val="16"/>
                <w:szCs w:val="16"/>
              </w:rPr>
            </w:pPr>
            <w:r>
              <w:rPr>
                <w:rFonts w:hint="eastAsia" w:ascii="Arial Narrow" w:hAnsi="Arial Narrow" w:cs="Arial Narrow" w:eastAsiaTheme="minorEastAsia"/>
                <w:color w:val="000000"/>
                <w:sz w:val="16"/>
                <w:szCs w:val="16"/>
              </w:rPr>
              <w:t>47.600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13"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418-1</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泄水管</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套</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42.000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13"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r>
              <w:rPr>
                <w:rFonts w:hint="eastAsia" w:ascii="宋体" w:hAnsi="宋体" w:cs="宋体"/>
                <w:color w:val="000000"/>
                <w:sz w:val="16"/>
                <w:szCs w:val="16"/>
              </w:rPr>
              <w:t>419-1</w:t>
            </w:r>
          </w:p>
        </w:tc>
        <w:tc>
          <w:tcPr>
            <w:tcW w:w="3713" w:type="dxa"/>
            <w:gridSpan w:val="2"/>
            <w:tcBorders>
              <w:top w:val="nil"/>
              <w:left w:val="nil"/>
              <w:bottom w:val="single" w:color="000000" w:sz="4" w:space="0"/>
              <w:right w:val="single" w:color="000000" w:sz="4" w:space="0"/>
            </w:tcBorders>
            <w:shd w:val="clear" w:color="auto" w:fill="FFFFFF"/>
            <w:vAlign w:val="center"/>
          </w:tcPr>
          <w:p>
            <w:pPr>
              <w:jc w:val="left"/>
              <w:rPr>
                <w:rFonts w:ascii="宋体" w:hAnsi="宋体" w:cs="宋体"/>
                <w:color w:val="000000"/>
                <w:sz w:val="16"/>
                <w:szCs w:val="16"/>
              </w:rPr>
            </w:pPr>
            <w:r>
              <w:rPr>
                <w:rFonts w:hint="eastAsia" w:ascii="宋体" w:hAnsi="宋体" w:cs="宋体"/>
                <w:color w:val="000000"/>
                <w:sz w:val="16"/>
                <w:szCs w:val="16"/>
              </w:rPr>
              <w:t>下部结构加固及病害处治</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r>
              <w:rPr>
                <w:rFonts w:hint="eastAsia" w:ascii="宋体" w:hAnsi="宋体" w:cs="宋体"/>
                <w:color w:val="000000"/>
                <w:sz w:val="16"/>
                <w:szCs w:val="16"/>
              </w:rPr>
              <w:t>项</w:t>
            </w: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cs="Arial Narrow" w:eastAsiaTheme="minorEastAsia"/>
                <w:color w:val="000000"/>
                <w:sz w:val="16"/>
                <w:szCs w:val="16"/>
              </w:rPr>
            </w:pPr>
            <w:r>
              <w:rPr>
                <w:rFonts w:hint="eastAsia" w:ascii="Arial Narrow" w:hAnsi="Arial Narrow" w:cs="Arial Narrow" w:eastAsiaTheme="minorEastAsia"/>
                <w:color w:val="000000"/>
                <w:sz w:val="16"/>
                <w:szCs w:val="16"/>
              </w:rPr>
              <w:t>1</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505" w:type="dxa"/>
            <w:gridSpan w:val="9"/>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清单  第400章  合计   人民币           元</w:t>
            </w:r>
          </w:p>
        </w:tc>
      </w:tr>
      <w:tr>
        <w:tblPrEx>
          <w:tblCellMar>
            <w:top w:w="0" w:type="dxa"/>
            <w:left w:w="108" w:type="dxa"/>
            <w:bottom w:w="0" w:type="dxa"/>
            <w:right w:w="108" w:type="dxa"/>
          </w:tblCellMar>
        </w:tblPrEx>
        <w:trPr>
          <w:trHeight w:val="560" w:hRule="atLeast"/>
        </w:trPr>
        <w:tc>
          <w:tcPr>
            <w:tcW w:w="8505" w:type="dxa"/>
            <w:gridSpan w:val="9"/>
            <w:tcBorders>
              <w:top w:val="nil"/>
              <w:left w:val="nil"/>
              <w:bottom w:val="nil"/>
              <w:right w:val="nil"/>
            </w:tcBorders>
            <w:shd w:val="clear" w:color="auto" w:fill="FFFFFF"/>
          </w:tcPr>
          <w:p>
            <w:pPr>
              <w:widowControl/>
              <w:jc w:val="center"/>
              <w:textAlignment w:val="top"/>
              <w:rPr>
                <w:rFonts w:ascii="宋体" w:hAnsi="宋体" w:cs="宋体"/>
                <w:b/>
                <w:bCs/>
                <w:color w:val="000000"/>
                <w:kern w:val="0"/>
                <w:sz w:val="36"/>
                <w:szCs w:val="36"/>
              </w:rPr>
            </w:pPr>
            <w:r>
              <w:rPr>
                <w:rFonts w:hint="eastAsia" w:ascii="宋体" w:hAnsi="宋体" w:cs="宋体"/>
                <w:b/>
                <w:bCs/>
                <w:color w:val="000000"/>
                <w:kern w:val="0"/>
                <w:sz w:val="36"/>
                <w:szCs w:val="36"/>
              </w:rPr>
              <w:t>工程量清单表</w:t>
            </w:r>
          </w:p>
          <w:p>
            <w:pPr>
              <w:widowControl/>
              <w:jc w:val="left"/>
              <w:textAlignment w:val="top"/>
              <w:rPr>
                <w:rFonts w:ascii="宋体" w:hAnsi="宋体" w:cs="宋体"/>
                <w:b/>
                <w:bCs/>
                <w:color w:val="000000"/>
                <w:kern w:val="0"/>
                <w:sz w:val="16"/>
                <w:szCs w:val="16"/>
              </w:rPr>
            </w:pPr>
            <w:r>
              <w:rPr>
                <w:rFonts w:hint="eastAsia" w:ascii="宋体" w:hAnsi="宋体" w:cs="宋体"/>
                <w:color w:val="000000"/>
                <w:kern w:val="0"/>
                <w:sz w:val="16"/>
                <w:szCs w:val="16"/>
              </w:rPr>
              <w:t xml:space="preserve">合同顿：鞍山市2021年黑大线冉家堡桥、草鞍线倪家台桥维修加固工程一标段                        标表2                                         </w:t>
            </w:r>
          </w:p>
        </w:tc>
      </w:tr>
      <w:tr>
        <w:tblPrEx>
          <w:tblCellMar>
            <w:top w:w="0" w:type="dxa"/>
            <w:left w:w="108" w:type="dxa"/>
            <w:bottom w:w="0" w:type="dxa"/>
            <w:right w:w="108" w:type="dxa"/>
          </w:tblCellMar>
        </w:tblPrEx>
        <w:trPr>
          <w:trHeight w:val="440" w:hRule="atLeast"/>
        </w:trPr>
        <w:tc>
          <w:tcPr>
            <w:tcW w:w="8505" w:type="dxa"/>
            <w:gridSpan w:val="9"/>
            <w:tcBorders>
              <w:top w:val="single" w:color="000000" w:sz="8" w:space="0"/>
              <w:left w:val="single" w:color="000000" w:sz="8" w:space="0"/>
              <w:bottom w:val="single" w:color="000000" w:sz="4" w:space="0"/>
              <w:right w:val="single" w:color="000000" w:sz="8" w:space="0"/>
            </w:tcBorders>
            <w:shd w:val="clear" w:color="auto" w:fill="FFFFFF"/>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清单  第600章  安全设施及预埋管线</w:t>
            </w:r>
          </w:p>
        </w:tc>
      </w:tr>
      <w:tr>
        <w:tblPrEx>
          <w:tblCellMar>
            <w:top w:w="0" w:type="dxa"/>
            <w:left w:w="108" w:type="dxa"/>
            <w:bottom w:w="0" w:type="dxa"/>
            <w:right w:w="108" w:type="dxa"/>
          </w:tblCellMar>
        </w:tblPrEx>
        <w:trPr>
          <w:trHeight w:val="34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子目号</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子目名称</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单位</w:t>
            </w:r>
          </w:p>
        </w:tc>
        <w:tc>
          <w:tcPr>
            <w:tcW w:w="1121"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数量</w:t>
            </w:r>
          </w:p>
        </w:tc>
        <w:tc>
          <w:tcPr>
            <w:tcW w:w="1045" w:type="dxa"/>
            <w:gridSpan w:val="2"/>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单价</w:t>
            </w:r>
          </w:p>
        </w:tc>
        <w:tc>
          <w:tcPr>
            <w:tcW w:w="1049" w:type="dxa"/>
            <w:tcBorders>
              <w:top w:val="nil"/>
              <w:left w:val="nil"/>
              <w:bottom w:val="single" w:color="000000" w:sz="4" w:space="0"/>
              <w:right w:val="single" w:color="000000" w:sz="8" w:space="0"/>
            </w:tcBorders>
            <w:shd w:val="clear" w:color="auto" w:fill="FFFFFF"/>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rPr>
              <w:t>合价</w:t>
            </w: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602</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护栏</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602-3</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波形梁钢护栏</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-a</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路侧波形梁钢护栏</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kg</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3672.000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-b</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立柱</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kg</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cs="Arial Narrow" w:eastAsiaTheme="minorEastAsia"/>
                <w:color w:val="000000"/>
                <w:sz w:val="16"/>
                <w:szCs w:val="16"/>
              </w:rPr>
            </w:pPr>
            <w:r>
              <w:rPr>
                <w:rFonts w:hint="eastAsia" w:ascii="Arial Narrow" w:hAnsi="Arial Narrow" w:cs="Arial Narrow" w:eastAsiaTheme="minorEastAsia"/>
                <w:color w:val="000000"/>
                <w:kern w:val="0"/>
                <w:sz w:val="16"/>
                <w:szCs w:val="16"/>
              </w:rPr>
              <w:t>4143.270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-c</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rPr>
              <w:t>端头</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kg</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cs="Arial Narrow" w:eastAsiaTheme="minorEastAsia"/>
                <w:color w:val="000000"/>
                <w:kern w:val="0"/>
                <w:sz w:val="16"/>
                <w:szCs w:val="16"/>
              </w:rPr>
            </w:pPr>
            <w:r>
              <w:rPr>
                <w:rFonts w:hint="eastAsia" w:ascii="Arial Narrow" w:hAnsi="Arial Narrow" w:cs="Arial Narrow" w:eastAsiaTheme="minorEastAsia"/>
                <w:color w:val="000000"/>
                <w:kern w:val="0"/>
                <w:sz w:val="16"/>
                <w:szCs w:val="16"/>
              </w:rPr>
              <w:t>180.800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604-1</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警示柱</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根</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16.000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605</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道路交通标线</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605-1</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热熔型涂料路面标线</w:t>
            </w: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-a</w:t>
            </w:r>
          </w:p>
        </w:tc>
        <w:tc>
          <w:tcPr>
            <w:tcW w:w="3713" w:type="dxa"/>
            <w:gridSpan w:val="2"/>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rPr>
              <w:t>沥青路面热熔反光漆厚1.5mm</w:t>
            </w:r>
          </w:p>
        </w:tc>
        <w:tc>
          <w:tcPr>
            <w:tcW w:w="700" w:type="dxa"/>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m2</w:t>
            </w:r>
          </w:p>
        </w:tc>
        <w:tc>
          <w:tcPr>
            <w:tcW w:w="1121" w:type="dxa"/>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Arial Narrow" w:hAnsi="Arial Narrow" w:eastAsia="Arial Narrow" w:cs="Arial Narrow"/>
                <w:color w:val="000000"/>
                <w:sz w:val="16"/>
                <w:szCs w:val="16"/>
              </w:rPr>
            </w:pPr>
            <w:r>
              <w:rPr>
                <w:rFonts w:ascii="Arial Narrow" w:hAnsi="Arial Narrow" w:eastAsia="Arial Narrow" w:cs="Arial Narrow"/>
                <w:color w:val="000000"/>
                <w:kern w:val="0"/>
                <w:sz w:val="16"/>
                <w:szCs w:val="16"/>
              </w:rPr>
              <w:t>127.920</w:t>
            </w: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4202" w:hRule="atLeast"/>
        </w:trPr>
        <w:tc>
          <w:tcPr>
            <w:tcW w:w="877"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3713" w:type="dxa"/>
            <w:gridSpan w:val="2"/>
            <w:tcBorders>
              <w:top w:val="nil"/>
              <w:left w:val="nil"/>
              <w:bottom w:val="single" w:color="000000" w:sz="4" w:space="0"/>
              <w:right w:val="single" w:color="000000" w:sz="4" w:space="0"/>
            </w:tcBorders>
            <w:shd w:val="clear" w:color="auto" w:fill="FFFFFF"/>
            <w:vAlign w:val="center"/>
          </w:tcPr>
          <w:p>
            <w:pPr>
              <w:jc w:val="left"/>
              <w:rPr>
                <w:rFonts w:ascii="宋体" w:hAnsi="宋体" w:cs="宋体"/>
                <w:color w:val="000000"/>
                <w:sz w:val="16"/>
                <w:szCs w:val="16"/>
              </w:rPr>
            </w:pPr>
          </w:p>
        </w:tc>
        <w:tc>
          <w:tcPr>
            <w:tcW w:w="700" w:type="dxa"/>
            <w:tcBorders>
              <w:top w:val="nil"/>
              <w:left w:val="nil"/>
              <w:bottom w:val="single" w:color="000000" w:sz="4" w:space="0"/>
              <w:right w:val="single" w:color="000000" w:sz="4" w:space="0"/>
            </w:tcBorders>
            <w:shd w:val="clear" w:color="auto" w:fill="FFFFFF"/>
            <w:vAlign w:val="center"/>
          </w:tcPr>
          <w:p>
            <w:pPr>
              <w:jc w:val="center"/>
              <w:rPr>
                <w:rFonts w:ascii="宋体" w:hAnsi="宋体" w:cs="宋体"/>
                <w:color w:val="000000"/>
                <w:sz w:val="16"/>
                <w:szCs w:val="16"/>
              </w:rPr>
            </w:pPr>
          </w:p>
        </w:tc>
        <w:tc>
          <w:tcPr>
            <w:tcW w:w="1121" w:type="dxa"/>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5" w:type="dxa"/>
            <w:gridSpan w:val="2"/>
            <w:tcBorders>
              <w:top w:val="nil"/>
              <w:left w:val="nil"/>
              <w:bottom w:val="single" w:color="000000" w:sz="4" w:space="0"/>
              <w:right w:val="single" w:color="000000" w:sz="4" w:space="0"/>
            </w:tcBorders>
            <w:shd w:val="clear" w:color="auto" w:fill="FFFFFF"/>
            <w:vAlign w:val="center"/>
          </w:tcPr>
          <w:p>
            <w:pPr>
              <w:jc w:val="right"/>
              <w:rPr>
                <w:rFonts w:ascii="Arial Narrow" w:hAnsi="Arial Narrow" w:eastAsia="Arial Narrow" w:cs="Arial Narrow"/>
                <w:color w:val="000000"/>
                <w:sz w:val="16"/>
                <w:szCs w:val="16"/>
              </w:rPr>
            </w:pPr>
          </w:p>
        </w:tc>
        <w:tc>
          <w:tcPr>
            <w:tcW w:w="1049" w:type="dxa"/>
            <w:tcBorders>
              <w:top w:val="nil"/>
              <w:left w:val="nil"/>
              <w:bottom w:val="single" w:color="000000" w:sz="4" w:space="0"/>
              <w:right w:val="single" w:color="000000" w:sz="8" w:space="0"/>
            </w:tcBorders>
            <w:shd w:val="clear" w:color="auto" w:fill="FFFFFF"/>
            <w:vAlign w:val="center"/>
          </w:tcPr>
          <w:p>
            <w:pPr>
              <w:jc w:val="right"/>
              <w:rPr>
                <w:rFonts w:ascii="Arial Narrow" w:hAnsi="Arial Narrow" w:eastAsia="Arial Narrow" w:cs="Arial Narrow"/>
                <w:color w:val="000000"/>
                <w:sz w:val="16"/>
                <w:szCs w:val="16"/>
              </w:rPr>
            </w:pPr>
          </w:p>
        </w:tc>
      </w:tr>
      <w:tr>
        <w:tblPrEx>
          <w:tblCellMar>
            <w:top w:w="0" w:type="dxa"/>
            <w:left w:w="108" w:type="dxa"/>
            <w:bottom w:w="0" w:type="dxa"/>
            <w:right w:w="108" w:type="dxa"/>
          </w:tblCellMar>
        </w:tblPrEx>
        <w:trPr>
          <w:trHeight w:val="300" w:hRule="atLeast"/>
        </w:trPr>
        <w:tc>
          <w:tcPr>
            <w:tcW w:w="8505" w:type="dxa"/>
            <w:gridSpan w:val="9"/>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清单  第600章  合计   人民币           元</w:t>
            </w:r>
          </w:p>
        </w:tc>
      </w:tr>
    </w:tbl>
    <w:p>
      <w:pPr>
        <w:spacing w:line="360" w:lineRule="auto"/>
        <w:rPr>
          <w:rFonts w:ascii="宋体" w:hAnsi="宋体" w:cs="宋体"/>
        </w:rPr>
        <w:sectPr>
          <w:footerReference r:id="rId3" w:type="default"/>
          <w:footerReference r:id="rId4" w:type="even"/>
          <w:pgSz w:w="11905" w:h="16838"/>
          <w:pgMar w:top="1440" w:right="1797" w:bottom="1440" w:left="1797" w:header="851" w:footer="992" w:gutter="0"/>
          <w:cols w:space="0" w:num="1"/>
        </w:sectPr>
      </w:pPr>
    </w:p>
    <w:p>
      <w:pPr>
        <w:spacing w:line="360" w:lineRule="auto"/>
        <w:rPr>
          <w:rFonts w:ascii="宋体" w:hAnsi="宋体" w:cs="宋体"/>
        </w:rPr>
      </w:pPr>
      <w:r>
        <w:rPr>
          <w:rFonts w:ascii="宋体" w:hAnsi="宋体" w:cs="宋体"/>
        </w:rPr>
        <w:t>5.5</w:t>
      </w:r>
      <w:r>
        <w:rPr>
          <w:rFonts w:hint="eastAsia" w:ascii="宋体" w:hAnsi="宋体" w:cs="宋体"/>
        </w:rPr>
        <w:t>工程量清单单价分析表</w:t>
      </w:r>
    </w:p>
    <w:tbl>
      <w:tblPr>
        <w:tblStyle w:val="5"/>
        <w:tblW w:w="142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7"/>
        <w:gridCol w:w="747"/>
        <w:gridCol w:w="748"/>
        <w:gridCol w:w="748"/>
        <w:gridCol w:w="748"/>
        <w:gridCol w:w="748"/>
        <w:gridCol w:w="748"/>
        <w:gridCol w:w="748"/>
        <w:gridCol w:w="748"/>
        <w:gridCol w:w="891"/>
        <w:gridCol w:w="851"/>
        <w:gridCol w:w="850"/>
        <w:gridCol w:w="851"/>
        <w:gridCol w:w="765"/>
        <w:gridCol w:w="936"/>
        <w:gridCol w:w="708"/>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747" w:type="dxa"/>
            <w:vMerge w:val="restart"/>
            <w:tcBorders>
              <w:tl2br w:val="nil"/>
              <w:tr2bl w:val="nil"/>
            </w:tcBorders>
            <w:vAlign w:val="center"/>
          </w:tcPr>
          <w:p>
            <w:pPr>
              <w:jc w:val="center"/>
            </w:pPr>
            <w:r>
              <w:rPr>
                <w:rFonts w:hint="eastAsia" w:cs="宋体"/>
              </w:rPr>
              <w:t>序号</w:t>
            </w:r>
          </w:p>
        </w:tc>
        <w:tc>
          <w:tcPr>
            <w:tcW w:w="747" w:type="dxa"/>
            <w:vMerge w:val="restart"/>
            <w:tcBorders>
              <w:tl2br w:val="nil"/>
              <w:tr2bl w:val="nil"/>
            </w:tcBorders>
            <w:vAlign w:val="center"/>
          </w:tcPr>
          <w:p>
            <w:pPr>
              <w:jc w:val="center"/>
            </w:pPr>
            <w:r>
              <w:rPr>
                <w:rFonts w:hint="eastAsia" w:cs="宋体"/>
              </w:rPr>
              <w:t>编码</w:t>
            </w:r>
          </w:p>
        </w:tc>
        <w:tc>
          <w:tcPr>
            <w:tcW w:w="748" w:type="dxa"/>
            <w:vMerge w:val="restart"/>
            <w:tcBorders>
              <w:tl2br w:val="nil"/>
              <w:tr2bl w:val="nil"/>
            </w:tcBorders>
            <w:vAlign w:val="center"/>
          </w:tcPr>
          <w:p>
            <w:pPr>
              <w:jc w:val="center"/>
            </w:pPr>
            <w:r>
              <w:rPr>
                <w:rFonts w:hint="eastAsia" w:cs="宋体"/>
              </w:rPr>
              <w:t>子目名称</w:t>
            </w:r>
          </w:p>
        </w:tc>
        <w:tc>
          <w:tcPr>
            <w:tcW w:w="2244" w:type="dxa"/>
            <w:gridSpan w:val="3"/>
            <w:tcBorders>
              <w:tl2br w:val="nil"/>
              <w:tr2bl w:val="nil"/>
            </w:tcBorders>
            <w:vAlign w:val="center"/>
          </w:tcPr>
          <w:p>
            <w:pPr>
              <w:jc w:val="center"/>
            </w:pPr>
            <w:r>
              <w:rPr>
                <w:rFonts w:hint="eastAsia" w:cs="宋体"/>
              </w:rPr>
              <w:t>人工费</w:t>
            </w:r>
          </w:p>
        </w:tc>
        <w:tc>
          <w:tcPr>
            <w:tcW w:w="4836" w:type="dxa"/>
            <w:gridSpan w:val="6"/>
            <w:tcBorders>
              <w:tl2br w:val="nil"/>
              <w:tr2bl w:val="nil"/>
            </w:tcBorders>
            <w:vAlign w:val="center"/>
          </w:tcPr>
          <w:p>
            <w:pPr>
              <w:jc w:val="center"/>
            </w:pPr>
            <w:r>
              <w:rPr>
                <w:rFonts w:hint="eastAsia" w:cs="宋体"/>
              </w:rPr>
              <w:t>材料费</w:t>
            </w:r>
          </w:p>
        </w:tc>
        <w:tc>
          <w:tcPr>
            <w:tcW w:w="851" w:type="dxa"/>
            <w:vMerge w:val="restart"/>
            <w:tcBorders>
              <w:tl2br w:val="nil"/>
              <w:tr2bl w:val="nil"/>
            </w:tcBorders>
            <w:vAlign w:val="center"/>
          </w:tcPr>
          <w:p>
            <w:pPr>
              <w:jc w:val="center"/>
            </w:pPr>
            <w:r>
              <w:rPr>
                <w:rFonts w:hint="eastAsia" w:cs="宋体"/>
              </w:rPr>
              <w:t>机械</w:t>
            </w:r>
          </w:p>
          <w:p>
            <w:pPr>
              <w:jc w:val="center"/>
            </w:pPr>
            <w:r>
              <w:rPr>
                <w:rFonts w:hint="eastAsia" w:cs="宋体"/>
              </w:rPr>
              <w:t>使用费</w:t>
            </w:r>
          </w:p>
        </w:tc>
        <w:tc>
          <w:tcPr>
            <w:tcW w:w="765" w:type="dxa"/>
            <w:vMerge w:val="restart"/>
            <w:tcBorders>
              <w:tl2br w:val="nil"/>
              <w:tr2bl w:val="nil"/>
            </w:tcBorders>
            <w:vAlign w:val="center"/>
          </w:tcPr>
          <w:p>
            <w:pPr>
              <w:jc w:val="center"/>
            </w:pPr>
            <w:r>
              <w:rPr>
                <w:rFonts w:hint="eastAsia" w:cs="宋体"/>
              </w:rPr>
              <w:t>其他</w:t>
            </w:r>
          </w:p>
        </w:tc>
        <w:tc>
          <w:tcPr>
            <w:tcW w:w="936" w:type="dxa"/>
            <w:vMerge w:val="restart"/>
            <w:tcBorders>
              <w:tl2br w:val="nil"/>
              <w:tr2bl w:val="nil"/>
            </w:tcBorders>
            <w:vAlign w:val="center"/>
          </w:tcPr>
          <w:p>
            <w:pPr>
              <w:jc w:val="center"/>
            </w:pPr>
            <w:r>
              <w:rPr>
                <w:rFonts w:hint="eastAsia" w:cs="宋体"/>
              </w:rPr>
              <w:t>管理费</w:t>
            </w:r>
          </w:p>
        </w:tc>
        <w:tc>
          <w:tcPr>
            <w:tcW w:w="708" w:type="dxa"/>
            <w:vMerge w:val="restart"/>
            <w:tcBorders>
              <w:tl2br w:val="nil"/>
              <w:tr2bl w:val="nil"/>
            </w:tcBorders>
            <w:vAlign w:val="center"/>
          </w:tcPr>
          <w:p>
            <w:pPr>
              <w:jc w:val="center"/>
            </w:pPr>
            <w:r>
              <w:rPr>
                <w:rFonts w:hint="eastAsia" w:cs="宋体"/>
              </w:rPr>
              <w:t>税费</w:t>
            </w:r>
          </w:p>
        </w:tc>
        <w:tc>
          <w:tcPr>
            <w:tcW w:w="851" w:type="dxa"/>
            <w:vMerge w:val="restart"/>
            <w:tcBorders>
              <w:tl2br w:val="nil"/>
              <w:tr2bl w:val="nil"/>
            </w:tcBorders>
            <w:vAlign w:val="center"/>
          </w:tcPr>
          <w:p>
            <w:pPr>
              <w:jc w:val="center"/>
            </w:pPr>
            <w:r>
              <w:rPr>
                <w:rFonts w:hint="eastAsia" w:cs="宋体"/>
              </w:rPr>
              <w:t>利润</w:t>
            </w:r>
          </w:p>
        </w:tc>
        <w:tc>
          <w:tcPr>
            <w:tcW w:w="850" w:type="dxa"/>
            <w:vMerge w:val="restart"/>
            <w:tcBorders>
              <w:tl2br w:val="nil"/>
              <w:tr2bl w:val="nil"/>
            </w:tcBorders>
            <w:vAlign w:val="center"/>
          </w:tcPr>
          <w:p>
            <w:pPr>
              <w:jc w:val="center"/>
            </w:pPr>
            <w:r>
              <w:rPr>
                <w:rFonts w:hint="eastAsia" w:cs="宋体"/>
              </w:rPr>
              <w:t>综合</w:t>
            </w:r>
          </w:p>
          <w:p>
            <w:pPr>
              <w:jc w:val="center"/>
            </w:pPr>
            <w:r>
              <w:rPr>
                <w:rFonts w:hint="eastAsia" w:cs="宋体"/>
              </w:rPr>
              <w:t>单价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747" w:type="dxa"/>
            <w:vMerge w:val="continue"/>
            <w:tcBorders>
              <w:tl2br w:val="nil"/>
              <w:tr2bl w:val="nil"/>
            </w:tcBorders>
            <w:vAlign w:val="center"/>
          </w:tcPr>
          <w:p>
            <w:pPr>
              <w:jc w:val="center"/>
            </w:pPr>
          </w:p>
        </w:tc>
        <w:tc>
          <w:tcPr>
            <w:tcW w:w="747"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restart"/>
            <w:tcBorders>
              <w:tl2br w:val="nil"/>
              <w:tr2bl w:val="nil"/>
            </w:tcBorders>
            <w:vAlign w:val="center"/>
          </w:tcPr>
          <w:p>
            <w:pPr>
              <w:jc w:val="center"/>
            </w:pPr>
            <w:r>
              <w:rPr>
                <w:rFonts w:hint="eastAsia" w:cs="宋体"/>
              </w:rPr>
              <w:t>工日</w:t>
            </w:r>
          </w:p>
        </w:tc>
        <w:tc>
          <w:tcPr>
            <w:tcW w:w="748" w:type="dxa"/>
            <w:vMerge w:val="restart"/>
            <w:tcBorders>
              <w:tl2br w:val="nil"/>
              <w:tr2bl w:val="nil"/>
            </w:tcBorders>
            <w:vAlign w:val="center"/>
          </w:tcPr>
          <w:p>
            <w:pPr>
              <w:jc w:val="center"/>
            </w:pPr>
            <w:r>
              <w:rPr>
                <w:rFonts w:hint="eastAsia" w:cs="宋体"/>
              </w:rPr>
              <w:t>单价</w:t>
            </w:r>
          </w:p>
        </w:tc>
        <w:tc>
          <w:tcPr>
            <w:tcW w:w="748" w:type="dxa"/>
            <w:vMerge w:val="restart"/>
            <w:tcBorders>
              <w:tl2br w:val="nil"/>
              <w:tr2bl w:val="nil"/>
            </w:tcBorders>
            <w:vAlign w:val="center"/>
          </w:tcPr>
          <w:p>
            <w:pPr>
              <w:jc w:val="center"/>
            </w:pPr>
            <w:r>
              <w:rPr>
                <w:rFonts w:hint="eastAsia" w:cs="宋体"/>
              </w:rPr>
              <w:t>金额</w:t>
            </w:r>
          </w:p>
        </w:tc>
        <w:tc>
          <w:tcPr>
            <w:tcW w:w="3135" w:type="dxa"/>
            <w:gridSpan w:val="4"/>
            <w:tcBorders>
              <w:tl2br w:val="nil"/>
              <w:tr2bl w:val="nil"/>
            </w:tcBorders>
            <w:vAlign w:val="center"/>
          </w:tcPr>
          <w:p>
            <w:pPr>
              <w:jc w:val="center"/>
            </w:pPr>
            <w:r>
              <w:rPr>
                <w:rFonts w:hint="eastAsia" w:cs="宋体"/>
              </w:rPr>
              <w:t>主材</w:t>
            </w:r>
          </w:p>
        </w:tc>
        <w:tc>
          <w:tcPr>
            <w:tcW w:w="851" w:type="dxa"/>
            <w:vMerge w:val="restart"/>
            <w:tcBorders>
              <w:tl2br w:val="nil"/>
              <w:tr2bl w:val="nil"/>
            </w:tcBorders>
            <w:vAlign w:val="center"/>
          </w:tcPr>
          <w:p>
            <w:pPr>
              <w:jc w:val="center"/>
            </w:pPr>
            <w:r>
              <w:rPr>
                <w:rFonts w:hint="eastAsia" w:cs="宋体"/>
              </w:rPr>
              <w:t>辅材费</w:t>
            </w:r>
          </w:p>
        </w:tc>
        <w:tc>
          <w:tcPr>
            <w:tcW w:w="850" w:type="dxa"/>
            <w:vMerge w:val="restart"/>
            <w:tcBorders>
              <w:tl2br w:val="nil"/>
              <w:tr2bl w:val="nil"/>
            </w:tcBorders>
            <w:vAlign w:val="center"/>
          </w:tcPr>
          <w:p>
            <w:pPr>
              <w:jc w:val="center"/>
            </w:pPr>
            <w:r>
              <w:rPr>
                <w:rFonts w:hint="eastAsia" w:cs="宋体"/>
              </w:rPr>
              <w:t>金额</w:t>
            </w:r>
          </w:p>
        </w:tc>
        <w:tc>
          <w:tcPr>
            <w:tcW w:w="851" w:type="dxa"/>
            <w:vMerge w:val="continue"/>
            <w:tcBorders>
              <w:tl2br w:val="nil"/>
              <w:tr2bl w:val="nil"/>
            </w:tcBorders>
            <w:vAlign w:val="center"/>
          </w:tcPr>
          <w:p>
            <w:pPr>
              <w:jc w:val="center"/>
            </w:pPr>
          </w:p>
        </w:tc>
        <w:tc>
          <w:tcPr>
            <w:tcW w:w="765" w:type="dxa"/>
            <w:vMerge w:val="continue"/>
            <w:tcBorders>
              <w:tl2br w:val="nil"/>
              <w:tr2bl w:val="nil"/>
            </w:tcBorders>
            <w:vAlign w:val="center"/>
          </w:tcPr>
          <w:p>
            <w:pPr>
              <w:jc w:val="center"/>
            </w:pPr>
          </w:p>
        </w:tc>
        <w:tc>
          <w:tcPr>
            <w:tcW w:w="936" w:type="dxa"/>
            <w:vMerge w:val="continue"/>
            <w:tcBorders>
              <w:tl2br w:val="nil"/>
              <w:tr2bl w:val="nil"/>
            </w:tcBorders>
            <w:vAlign w:val="center"/>
          </w:tcPr>
          <w:p>
            <w:pPr>
              <w:jc w:val="center"/>
            </w:pPr>
          </w:p>
        </w:tc>
        <w:tc>
          <w:tcPr>
            <w:tcW w:w="708" w:type="dxa"/>
            <w:vMerge w:val="continue"/>
            <w:tcBorders>
              <w:tl2br w:val="nil"/>
              <w:tr2bl w:val="nil"/>
            </w:tcBorders>
            <w:vAlign w:val="center"/>
          </w:tcPr>
          <w:p>
            <w:pPr>
              <w:jc w:val="center"/>
            </w:pPr>
          </w:p>
        </w:tc>
        <w:tc>
          <w:tcPr>
            <w:tcW w:w="851" w:type="dxa"/>
            <w:vMerge w:val="continue"/>
            <w:tcBorders>
              <w:tl2br w:val="nil"/>
              <w:tr2bl w:val="nil"/>
            </w:tcBorders>
            <w:vAlign w:val="center"/>
          </w:tcPr>
          <w:p>
            <w:pPr>
              <w:jc w:val="center"/>
            </w:pPr>
          </w:p>
        </w:tc>
        <w:tc>
          <w:tcPr>
            <w:tcW w:w="850" w:type="dxa"/>
            <w:vMerge w:val="continue"/>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7" w:type="dxa"/>
            <w:vMerge w:val="continue"/>
            <w:tcBorders>
              <w:tl2br w:val="nil"/>
              <w:tr2bl w:val="nil"/>
            </w:tcBorders>
            <w:vAlign w:val="center"/>
          </w:tcPr>
          <w:p>
            <w:pPr>
              <w:jc w:val="center"/>
            </w:pPr>
          </w:p>
        </w:tc>
        <w:tc>
          <w:tcPr>
            <w:tcW w:w="747"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tcBorders>
              <w:tl2br w:val="nil"/>
              <w:tr2bl w:val="nil"/>
            </w:tcBorders>
            <w:vAlign w:val="center"/>
          </w:tcPr>
          <w:p>
            <w:pPr>
              <w:jc w:val="center"/>
            </w:pPr>
            <w:r>
              <w:rPr>
                <w:rFonts w:hint="eastAsia" w:cs="宋体"/>
              </w:rPr>
              <w:t>主材耗量</w:t>
            </w:r>
          </w:p>
        </w:tc>
        <w:tc>
          <w:tcPr>
            <w:tcW w:w="748" w:type="dxa"/>
            <w:tcBorders>
              <w:tl2br w:val="nil"/>
              <w:tr2bl w:val="nil"/>
            </w:tcBorders>
            <w:vAlign w:val="center"/>
          </w:tcPr>
          <w:p>
            <w:pPr>
              <w:jc w:val="center"/>
            </w:pPr>
            <w:r>
              <w:rPr>
                <w:rFonts w:hint="eastAsia" w:cs="宋体"/>
              </w:rPr>
              <w:t>单位</w:t>
            </w:r>
          </w:p>
        </w:tc>
        <w:tc>
          <w:tcPr>
            <w:tcW w:w="748" w:type="dxa"/>
            <w:tcBorders>
              <w:tl2br w:val="nil"/>
              <w:tr2bl w:val="nil"/>
            </w:tcBorders>
            <w:vAlign w:val="center"/>
          </w:tcPr>
          <w:p>
            <w:pPr>
              <w:jc w:val="center"/>
            </w:pPr>
            <w:r>
              <w:rPr>
                <w:rFonts w:hint="eastAsia" w:cs="宋体"/>
              </w:rPr>
              <w:t>单价</w:t>
            </w:r>
          </w:p>
        </w:tc>
        <w:tc>
          <w:tcPr>
            <w:tcW w:w="891" w:type="dxa"/>
            <w:tcBorders>
              <w:tl2br w:val="nil"/>
              <w:tr2bl w:val="nil"/>
            </w:tcBorders>
            <w:vAlign w:val="center"/>
          </w:tcPr>
          <w:p>
            <w:pPr>
              <w:jc w:val="center"/>
            </w:pPr>
            <w:r>
              <w:rPr>
                <w:rFonts w:hint="eastAsia" w:cs="宋体"/>
              </w:rPr>
              <w:t>主材费</w:t>
            </w:r>
          </w:p>
        </w:tc>
        <w:tc>
          <w:tcPr>
            <w:tcW w:w="851" w:type="dxa"/>
            <w:vMerge w:val="continue"/>
            <w:tcBorders>
              <w:tl2br w:val="nil"/>
              <w:tr2bl w:val="nil"/>
            </w:tcBorders>
            <w:vAlign w:val="center"/>
          </w:tcPr>
          <w:p>
            <w:pPr>
              <w:jc w:val="center"/>
            </w:pPr>
          </w:p>
        </w:tc>
        <w:tc>
          <w:tcPr>
            <w:tcW w:w="850" w:type="dxa"/>
            <w:vMerge w:val="continue"/>
            <w:tcBorders>
              <w:tl2br w:val="nil"/>
              <w:tr2bl w:val="nil"/>
            </w:tcBorders>
            <w:vAlign w:val="center"/>
          </w:tcPr>
          <w:p>
            <w:pPr>
              <w:jc w:val="center"/>
            </w:pPr>
          </w:p>
        </w:tc>
        <w:tc>
          <w:tcPr>
            <w:tcW w:w="851" w:type="dxa"/>
            <w:vMerge w:val="continue"/>
            <w:tcBorders>
              <w:tl2br w:val="nil"/>
              <w:tr2bl w:val="nil"/>
            </w:tcBorders>
            <w:vAlign w:val="center"/>
          </w:tcPr>
          <w:p>
            <w:pPr>
              <w:jc w:val="center"/>
            </w:pPr>
          </w:p>
        </w:tc>
        <w:tc>
          <w:tcPr>
            <w:tcW w:w="765" w:type="dxa"/>
            <w:vMerge w:val="continue"/>
            <w:tcBorders>
              <w:tl2br w:val="nil"/>
              <w:tr2bl w:val="nil"/>
            </w:tcBorders>
            <w:vAlign w:val="center"/>
          </w:tcPr>
          <w:p>
            <w:pPr>
              <w:jc w:val="center"/>
            </w:pPr>
          </w:p>
        </w:tc>
        <w:tc>
          <w:tcPr>
            <w:tcW w:w="936" w:type="dxa"/>
            <w:vMerge w:val="continue"/>
            <w:tcBorders>
              <w:tl2br w:val="nil"/>
              <w:tr2bl w:val="nil"/>
            </w:tcBorders>
            <w:vAlign w:val="center"/>
          </w:tcPr>
          <w:p>
            <w:pPr>
              <w:jc w:val="center"/>
            </w:pPr>
          </w:p>
        </w:tc>
        <w:tc>
          <w:tcPr>
            <w:tcW w:w="708" w:type="dxa"/>
            <w:vMerge w:val="continue"/>
            <w:tcBorders>
              <w:tl2br w:val="nil"/>
              <w:tr2bl w:val="nil"/>
            </w:tcBorders>
            <w:vAlign w:val="center"/>
          </w:tcPr>
          <w:p>
            <w:pPr>
              <w:jc w:val="center"/>
            </w:pPr>
          </w:p>
        </w:tc>
        <w:tc>
          <w:tcPr>
            <w:tcW w:w="851" w:type="dxa"/>
            <w:vMerge w:val="continue"/>
            <w:tcBorders>
              <w:tl2br w:val="nil"/>
              <w:tr2bl w:val="nil"/>
            </w:tcBorders>
            <w:vAlign w:val="center"/>
          </w:tcPr>
          <w:p>
            <w:pPr>
              <w:jc w:val="center"/>
            </w:pPr>
          </w:p>
        </w:tc>
        <w:tc>
          <w:tcPr>
            <w:tcW w:w="850" w:type="dxa"/>
            <w:vMerge w:val="continue"/>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bl>
    <w:p>
      <w:pPr>
        <w:sectPr>
          <w:pgSz w:w="16838" w:h="11905" w:orient="landscape"/>
          <w:pgMar w:top="1797" w:right="1440" w:bottom="1797" w:left="1440" w:header="851" w:footer="992" w:gutter="0"/>
          <w:cols w:space="0" w:num="1"/>
        </w:sectPr>
      </w:pPr>
    </w:p>
    <w:p/>
    <w:sectPr>
      <w:pgSz w:w="16838" w:h="11905" w:orient="landscape"/>
      <w:pgMar w:top="1797" w:right="1440" w:bottom="1797" w:left="144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Courier New"/>
    <w:panose1 w:val="00000000000000000000"/>
    <w:charset w:val="02"/>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rPr>
        <w:rFonts w:ascii="Times New Roman"/>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rPr>
        <w:rFonts w:ascii="Times New Roman"/>
        <w:sz w:val="20"/>
        <w:szCs w:val="20"/>
      </w:rPr>
    </w:pPr>
    <w:r>
      <w:pict>
        <v:shape id="_x0000_s4098" o:spid="_x0000_s4098" o:spt="202" type="#_x0000_t202" style="position:absolute;left:0pt;margin-left:81.3pt;margin-top:788.45pt;height:12pt;width:17.4pt;mso-position-horizontal-relative:page;mso-position-vertical-relative:page;z-index:-251657216;mso-width-relative:page;mso-height-relative:page;" filled="f" stroked="f" coordsize="21600,21600" o:allowincell="f" o:gfxdata="UEsDBAoAAAAAAIdO4kAAAAAAAAAAAAAAAAAEAAAAZHJzL1BLAwQUAAAACACHTuJAsdYut9kAAAAN&#10;AQAADwAAAGRycy9kb3ducmV2LnhtbE2PzU7DMBCE70i8g7VI3KjdClwS4lQIwQkJkYYDRyfeJlbj&#10;dYjdH94e51RuO5pPszPF5uwGdsQpWE8KlgsBDKn1xlKn4Kt+u3sEFqImowdPqOAXA2zK66tC58af&#10;qMLjNnYshVDItYI+xjHnPLQ9Oh0WfkRK3s5PTsckp46bSZ9SuBv4SgjJnbaUPvR6xJce2/324BQ8&#10;f1P1an8+ms9qV9m6zgS9y71StzdL8QQs4jleYJjrp+pQpk6NP5AJbEharmRC0/GwlhmwGcnW98Ca&#10;2RMiA14W/P+K8g9QSwMEFAAAAAgAh07iQDZXMqamAQAALAMAAA4AAABkcnMvZTJvRG9jLnhtbK1S&#10;S27bMBDdF+gdCO5ryUIdJILlAEWQIECRFkh7AJoiLQIkhxgylnyB9gZdddN9z+VzdMhYTtHuim6o&#10;0Xwe33vD9fXkLNsrjAZ8x5eLmjPlJfTG7zr++dPtm0vOYhK+Fxa86vhBRX69ef1qPYZWNTCA7RUy&#10;AvGxHUPHh5RCW1VRDsqJuICgPBU1oBOJfnFX9ShGQne2aur6ohoB+4AgVYyUvXku8k3B11rJ9EHr&#10;qBKzHSduqZxYzm0+q81atDsUYTDyREP8AwsnjKdLz1A3Ign2hOYvKGckQgSdFhJcBVobqYoGUrOs&#10;/1DzOIigihYyJ4azTfH/wcqH/Udkpu94w5kXjlZ0/Pb1+P3n8ccX1mR7xhBb6noM1JemdzDRmud8&#10;pGRWPWl0+Ut6GNXJ6MPZXDUlJinZNPXVJVUklZar5m1dzK9ehgPGdKfAsRx0HGl3xVKxfx8TEaHW&#10;uSXf5eHWWFv2Zz0bO361alZl4FyhCetpMEt4ppqjNG2nk64t9AeSZe89WZqfxxzgHGzn4Cmg2Q3E&#10;q4gvkLSSwur0fPLOf/8vF7888s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sdYut9kAAAANAQAA&#10;DwAAAAAAAAABACAAAAAiAAAAZHJzL2Rvd25yZXYueG1sUEsBAhQAFAAAAAgAh07iQDZXMqamAQAA&#10;LAMAAA4AAAAAAAAAAQAgAAAAKAEAAGRycy9lMm9Eb2MueG1sUEsFBgAAAAAGAAYAWQEAAEAFAAAA&#10;AA==&#10;">
          <v:path/>
          <v:fill on="f" focussize="0,0"/>
          <v:stroke on="f" joinstyle="miter"/>
          <v:imagedata o:title=""/>
          <o:lock v:ext="edit"/>
          <v:textbox inset="0mm,0mm,0mm,0mm">
            <w:txbxContent>
              <w:p>
                <w:pPr>
                  <w:pStyle w:val="2"/>
                  <w:kinsoku w:val="0"/>
                  <w:overflowPunct w:val="0"/>
                  <w:spacing w:before="22"/>
                  <w:ind w:left="40"/>
                  <w:rPr>
                    <w:rFonts w:ascii="Times New Roman"/>
                    <w:color w:val="000000"/>
                    <w:sz w:val="17"/>
                    <w:szCs w:val="17"/>
                  </w:rPr>
                </w:pPr>
                <w:r>
                  <w:rPr>
                    <w:rFonts w:ascii="Times New Roman"/>
                    <w:color w:val="010101"/>
                    <w:w w:val="105"/>
                    <w:sz w:val="17"/>
                    <w:szCs w:val="17"/>
                  </w:rPr>
                  <w:fldChar w:fldCharType="begin"/>
                </w:r>
                <w:r>
                  <w:rPr>
                    <w:rFonts w:ascii="Times New Roman"/>
                    <w:color w:val="010101"/>
                    <w:w w:val="105"/>
                    <w:sz w:val="17"/>
                    <w:szCs w:val="17"/>
                  </w:rPr>
                  <w:instrText xml:space="preserve"> PAGE </w:instrText>
                </w:r>
                <w:r>
                  <w:rPr>
                    <w:rFonts w:ascii="Times New Roman"/>
                    <w:color w:val="010101"/>
                    <w:w w:val="105"/>
                    <w:sz w:val="17"/>
                    <w:szCs w:val="17"/>
                  </w:rPr>
                  <w:fldChar w:fldCharType="separate"/>
                </w:r>
                <w:r>
                  <w:rPr>
                    <w:rFonts w:ascii="Times New Roman"/>
                    <w:color w:val="010101"/>
                    <w:w w:val="105"/>
                    <w:sz w:val="17"/>
                    <w:szCs w:val="17"/>
                  </w:rPr>
                  <w:t>194</w:t>
                </w:r>
                <w:r>
                  <w:rPr>
                    <w:rFonts w:ascii="Times New Roman"/>
                    <w:color w:val="010101"/>
                    <w:w w:val="105"/>
                    <w:sz w:val="17"/>
                    <w:szCs w:val="17"/>
                  </w:rPr>
                  <w:fldChar w:fldCharType="end"/>
                </w:r>
              </w:p>
            </w:txbxContent>
          </v:textbox>
          <w10:anchorlock/>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HorizontalSpacing w:val="210"/>
  <w:drawingGridVerticalSpacing w:val="-794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CC11441"/>
    <w:rsid w:val="00002FFD"/>
    <w:rsid w:val="000121D5"/>
    <w:rsid w:val="00046011"/>
    <w:rsid w:val="0015599B"/>
    <w:rsid w:val="001921EB"/>
    <w:rsid w:val="001E1B20"/>
    <w:rsid w:val="001F3878"/>
    <w:rsid w:val="002436FA"/>
    <w:rsid w:val="00244852"/>
    <w:rsid w:val="00264D4E"/>
    <w:rsid w:val="002A46C2"/>
    <w:rsid w:val="002C7B03"/>
    <w:rsid w:val="00396916"/>
    <w:rsid w:val="003B13AB"/>
    <w:rsid w:val="004141A9"/>
    <w:rsid w:val="0043345E"/>
    <w:rsid w:val="00504A16"/>
    <w:rsid w:val="00553267"/>
    <w:rsid w:val="00563CA5"/>
    <w:rsid w:val="00574868"/>
    <w:rsid w:val="00597499"/>
    <w:rsid w:val="005A54BF"/>
    <w:rsid w:val="005C4338"/>
    <w:rsid w:val="005E4FBC"/>
    <w:rsid w:val="006118A9"/>
    <w:rsid w:val="0064214A"/>
    <w:rsid w:val="00670100"/>
    <w:rsid w:val="00673630"/>
    <w:rsid w:val="0074466B"/>
    <w:rsid w:val="00774704"/>
    <w:rsid w:val="007A48CA"/>
    <w:rsid w:val="007F0310"/>
    <w:rsid w:val="00850750"/>
    <w:rsid w:val="00896676"/>
    <w:rsid w:val="008D3304"/>
    <w:rsid w:val="00936C55"/>
    <w:rsid w:val="009D0606"/>
    <w:rsid w:val="00A80631"/>
    <w:rsid w:val="00AC39D7"/>
    <w:rsid w:val="00AC6F5E"/>
    <w:rsid w:val="00AE428D"/>
    <w:rsid w:val="00B129FB"/>
    <w:rsid w:val="00B36328"/>
    <w:rsid w:val="00CA16A9"/>
    <w:rsid w:val="00CD45D8"/>
    <w:rsid w:val="00CD507B"/>
    <w:rsid w:val="00CE5975"/>
    <w:rsid w:val="00D129C5"/>
    <w:rsid w:val="00D21381"/>
    <w:rsid w:val="00D72EA5"/>
    <w:rsid w:val="00D9030A"/>
    <w:rsid w:val="00DD2308"/>
    <w:rsid w:val="00DE0E9D"/>
    <w:rsid w:val="00E16D9D"/>
    <w:rsid w:val="00EC74ED"/>
    <w:rsid w:val="00ED2C98"/>
    <w:rsid w:val="00EE66DC"/>
    <w:rsid w:val="00EF7E64"/>
    <w:rsid w:val="00F06978"/>
    <w:rsid w:val="00F223B5"/>
    <w:rsid w:val="00F47E0B"/>
    <w:rsid w:val="00F64220"/>
    <w:rsid w:val="00F73B20"/>
    <w:rsid w:val="01DF347B"/>
    <w:rsid w:val="033506A8"/>
    <w:rsid w:val="060E6623"/>
    <w:rsid w:val="0C3031EA"/>
    <w:rsid w:val="0FAC7850"/>
    <w:rsid w:val="17814796"/>
    <w:rsid w:val="18DD69F0"/>
    <w:rsid w:val="1AD141F0"/>
    <w:rsid w:val="1CC604DE"/>
    <w:rsid w:val="1FF719F1"/>
    <w:rsid w:val="20280D27"/>
    <w:rsid w:val="22337C0F"/>
    <w:rsid w:val="228D35DA"/>
    <w:rsid w:val="27A21454"/>
    <w:rsid w:val="28AC4151"/>
    <w:rsid w:val="2B031CDE"/>
    <w:rsid w:val="2ED121D0"/>
    <w:rsid w:val="307A5DBB"/>
    <w:rsid w:val="31EE1B12"/>
    <w:rsid w:val="32716245"/>
    <w:rsid w:val="32E161E6"/>
    <w:rsid w:val="344E65EB"/>
    <w:rsid w:val="369E0E65"/>
    <w:rsid w:val="386D4C76"/>
    <w:rsid w:val="3A8A4D52"/>
    <w:rsid w:val="3CF106B3"/>
    <w:rsid w:val="3EC36962"/>
    <w:rsid w:val="40DA7BF6"/>
    <w:rsid w:val="40E11174"/>
    <w:rsid w:val="42372194"/>
    <w:rsid w:val="44161B53"/>
    <w:rsid w:val="44BF1DD1"/>
    <w:rsid w:val="44CB44C1"/>
    <w:rsid w:val="47062A39"/>
    <w:rsid w:val="491E7B5C"/>
    <w:rsid w:val="4ADD41EA"/>
    <w:rsid w:val="4CC11441"/>
    <w:rsid w:val="4ED67D34"/>
    <w:rsid w:val="508C7F87"/>
    <w:rsid w:val="56521FD2"/>
    <w:rsid w:val="5BDF1DD3"/>
    <w:rsid w:val="5D4B47A3"/>
    <w:rsid w:val="5DAA504D"/>
    <w:rsid w:val="62C43C7A"/>
    <w:rsid w:val="68CF5A4F"/>
    <w:rsid w:val="69573746"/>
    <w:rsid w:val="6BDB3F4B"/>
    <w:rsid w:val="6C713669"/>
    <w:rsid w:val="6ECB0D26"/>
    <w:rsid w:val="721A5D71"/>
    <w:rsid w:val="734D03D1"/>
    <w:rsid w:val="772D120A"/>
    <w:rsid w:val="7B6A4D5E"/>
    <w:rsid w:val="7D6A7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sz w:val="18"/>
      <w:szCs w:val="24"/>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FollowedHyperlink"/>
    <w:basedOn w:val="6"/>
    <w:unhideWhenUsed/>
    <w:qFormat/>
    <w:uiPriority w:val="99"/>
    <w:rPr>
      <w:color w:val="800080"/>
      <w:u w:val="single"/>
    </w:rPr>
  </w:style>
  <w:style w:type="character" w:styleId="8">
    <w:name w:val="Hyperlink"/>
    <w:basedOn w:val="6"/>
    <w:unhideWhenUsed/>
    <w:qFormat/>
    <w:uiPriority w:val="99"/>
    <w:rPr>
      <w:color w:val="0000FF"/>
      <w:u w:val="single"/>
    </w:rPr>
  </w:style>
  <w:style w:type="character" w:customStyle="1" w:styleId="9">
    <w:name w:val="页眉 Char"/>
    <w:basedOn w:val="6"/>
    <w:link w:val="4"/>
    <w:qFormat/>
    <w:uiPriority w:val="0"/>
    <w:rPr>
      <w:kern w:val="2"/>
      <w:sz w:val="18"/>
      <w:szCs w:val="18"/>
    </w:rPr>
  </w:style>
  <w:style w:type="character" w:customStyle="1" w:styleId="10">
    <w:name w:val="页脚 Char"/>
    <w:basedOn w:val="6"/>
    <w:link w:val="3"/>
    <w:qFormat/>
    <w:uiPriority w:val="0"/>
    <w:rPr>
      <w:kern w:val="2"/>
      <w:sz w:val="18"/>
      <w:szCs w:val="18"/>
    </w:rPr>
  </w:style>
  <w:style w:type="paragraph" w:customStyle="1" w:styleId="11">
    <w:name w:val="xl65"/>
    <w:basedOn w:val="1"/>
    <w:qFormat/>
    <w:uiPriority w:val="0"/>
    <w:pPr>
      <w:widowControl/>
      <w:shd w:val="clear" w:color="000000" w:fill="FFFFFF"/>
      <w:spacing w:before="100" w:beforeAutospacing="1" w:after="100" w:afterAutospacing="1"/>
      <w:jc w:val="left"/>
      <w:textAlignment w:val="top"/>
    </w:pPr>
    <w:rPr>
      <w:rFonts w:ascii="SansSerif" w:hAnsi="SansSerif" w:cs="宋体"/>
      <w:color w:val="000000"/>
      <w:kern w:val="0"/>
      <w:sz w:val="24"/>
      <w:szCs w:val="24"/>
    </w:rPr>
  </w:style>
  <w:style w:type="paragraph" w:customStyle="1" w:styleId="12">
    <w:name w:val="xl66"/>
    <w:basedOn w:val="1"/>
    <w:qFormat/>
    <w:uiPriority w:val="0"/>
    <w:pPr>
      <w:widowControl/>
      <w:shd w:val="clear" w:color="000000" w:fill="FFFFFF"/>
      <w:spacing w:before="100" w:beforeAutospacing="1" w:after="100" w:afterAutospacing="1"/>
      <w:jc w:val="left"/>
      <w:textAlignment w:val="center"/>
    </w:pPr>
    <w:rPr>
      <w:rFonts w:ascii="宋体" w:hAnsi="宋体" w:cs="宋体"/>
      <w:color w:val="000000"/>
      <w:kern w:val="0"/>
      <w:sz w:val="16"/>
      <w:szCs w:val="16"/>
    </w:rPr>
  </w:style>
  <w:style w:type="paragraph" w:customStyle="1" w:styleId="13">
    <w:name w:val="xl67"/>
    <w:basedOn w:val="1"/>
    <w:qFormat/>
    <w:uiPriority w:val="0"/>
    <w:pPr>
      <w:widowControl/>
      <w:shd w:val="clear" w:color="000000" w:fill="FFFFFF"/>
      <w:spacing w:before="100" w:beforeAutospacing="1" w:after="100" w:afterAutospacing="1"/>
      <w:jc w:val="right"/>
      <w:textAlignment w:val="center"/>
    </w:pPr>
    <w:rPr>
      <w:rFonts w:ascii="宋体" w:hAnsi="宋体" w:cs="宋体"/>
      <w:color w:val="000000"/>
      <w:kern w:val="0"/>
      <w:sz w:val="16"/>
      <w:szCs w:val="16"/>
    </w:rPr>
  </w:style>
  <w:style w:type="paragraph" w:customStyle="1" w:styleId="14">
    <w:name w:val="xl68"/>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color w:val="000000"/>
      <w:kern w:val="0"/>
      <w:sz w:val="16"/>
      <w:szCs w:val="16"/>
    </w:rPr>
  </w:style>
  <w:style w:type="paragraph" w:customStyle="1" w:styleId="15">
    <w:name w:val="xl69"/>
    <w:basedOn w:val="1"/>
    <w:qFormat/>
    <w:uiPriority w:val="0"/>
    <w:pPr>
      <w:widowControl/>
      <w:pBdr>
        <w:bottom w:val="single" w:color="000000" w:sz="4" w:space="0"/>
        <w:right w:val="single" w:color="000000" w:sz="8" w:space="0"/>
      </w:pBdr>
      <w:shd w:val="clear" w:color="000000" w:fill="FFFFFF"/>
      <w:spacing w:before="100" w:beforeAutospacing="1" w:after="100" w:afterAutospacing="1"/>
      <w:jc w:val="right"/>
      <w:textAlignment w:val="center"/>
    </w:pPr>
    <w:rPr>
      <w:rFonts w:ascii="Arial Narrow" w:hAnsi="Arial Narrow" w:cs="宋体"/>
      <w:color w:val="000000"/>
      <w:kern w:val="0"/>
      <w:sz w:val="16"/>
      <w:szCs w:val="16"/>
    </w:rPr>
  </w:style>
  <w:style w:type="paragraph" w:customStyle="1" w:styleId="16">
    <w:name w:val="xl70"/>
    <w:basedOn w:val="1"/>
    <w:qFormat/>
    <w:uiPriority w:val="0"/>
    <w:pPr>
      <w:widowControl/>
      <w:pBdr>
        <w:left w:val="single" w:color="000000" w:sz="8"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7">
    <w:name w:val="xl71"/>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8">
    <w:name w:val="xl72"/>
    <w:basedOn w:val="1"/>
    <w:qFormat/>
    <w:uiPriority w:val="0"/>
    <w:pPr>
      <w:widowControl/>
      <w:pBdr>
        <w:bottom w:val="single" w:color="000000" w:sz="4" w:space="0"/>
        <w:right w:val="single" w:color="000000" w:sz="8" w:space="0"/>
      </w:pBdr>
      <w:shd w:val="clear" w:color="000000" w:fill="FFFFFF"/>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19">
    <w:name w:val="xl73"/>
    <w:basedOn w:val="1"/>
    <w:qFormat/>
    <w:uiPriority w:val="0"/>
    <w:pPr>
      <w:widowControl/>
      <w:pBdr>
        <w:left w:val="single" w:color="000000" w:sz="8"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20">
    <w:name w:val="xl74"/>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21">
    <w:name w:val="xl75"/>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right"/>
      <w:textAlignment w:val="center"/>
    </w:pPr>
    <w:rPr>
      <w:rFonts w:ascii="Arial Narrow" w:hAnsi="Arial Narrow" w:cs="宋体"/>
      <w:color w:val="000000"/>
      <w:kern w:val="0"/>
      <w:sz w:val="16"/>
      <w:szCs w:val="16"/>
    </w:rPr>
  </w:style>
  <w:style w:type="paragraph" w:customStyle="1" w:styleId="22">
    <w:name w:val="xl76"/>
    <w:basedOn w:val="1"/>
    <w:qFormat/>
    <w:uiPriority w:val="0"/>
    <w:pPr>
      <w:widowControl/>
      <w:pBdr>
        <w:bottom w:val="single" w:color="000000" w:sz="4" w:space="0"/>
        <w:right w:val="single" w:color="000000" w:sz="8" w:space="0"/>
      </w:pBdr>
      <w:shd w:val="clear" w:color="000000" w:fill="FFFFFF"/>
      <w:spacing w:before="100" w:beforeAutospacing="1" w:after="100" w:afterAutospacing="1"/>
      <w:jc w:val="right"/>
      <w:textAlignment w:val="center"/>
    </w:pPr>
    <w:rPr>
      <w:rFonts w:ascii="Arial Narrow" w:hAnsi="Arial Narrow" w:cs="宋体"/>
      <w:color w:val="000000"/>
      <w:kern w:val="0"/>
      <w:sz w:val="16"/>
      <w:szCs w:val="16"/>
    </w:rPr>
  </w:style>
  <w:style w:type="paragraph" w:customStyle="1" w:styleId="23">
    <w:name w:val="xl77"/>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right"/>
      <w:textAlignment w:val="center"/>
    </w:pPr>
    <w:rPr>
      <w:rFonts w:ascii="Arial Narrow" w:hAnsi="Arial Narrow" w:cs="宋体"/>
      <w:color w:val="000000"/>
      <w:kern w:val="0"/>
      <w:sz w:val="16"/>
      <w:szCs w:val="16"/>
    </w:rPr>
  </w:style>
  <w:style w:type="paragraph" w:customStyle="1" w:styleId="24">
    <w:name w:val="xl78"/>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right"/>
      <w:textAlignment w:val="center"/>
    </w:pPr>
    <w:rPr>
      <w:rFonts w:ascii="Arial Narrow" w:hAnsi="Arial Narrow" w:cs="宋体"/>
      <w:color w:val="000000"/>
      <w:kern w:val="0"/>
      <w:sz w:val="16"/>
      <w:szCs w:val="16"/>
    </w:rPr>
  </w:style>
  <w:style w:type="paragraph" w:customStyle="1" w:styleId="25">
    <w:name w:val="xl79"/>
    <w:basedOn w:val="1"/>
    <w:qFormat/>
    <w:uiPriority w:val="0"/>
    <w:pPr>
      <w:widowControl/>
      <w:shd w:val="clear" w:color="000000" w:fill="FFFFFF"/>
      <w:spacing w:before="100" w:beforeAutospacing="1" w:after="100" w:afterAutospacing="1"/>
      <w:jc w:val="center"/>
      <w:textAlignment w:val="top"/>
    </w:pPr>
    <w:rPr>
      <w:rFonts w:ascii="宋体" w:hAnsi="宋体" w:cs="宋体"/>
      <w:b/>
      <w:bCs/>
      <w:color w:val="000000"/>
      <w:kern w:val="0"/>
      <w:sz w:val="36"/>
      <w:szCs w:val="36"/>
    </w:rPr>
  </w:style>
  <w:style w:type="paragraph" w:customStyle="1" w:styleId="26">
    <w:name w:val="xl80"/>
    <w:basedOn w:val="1"/>
    <w:qFormat/>
    <w:uiPriority w:val="0"/>
    <w:pPr>
      <w:widowControl/>
      <w:pBdr>
        <w:top w:val="single" w:color="000000" w:sz="8" w:space="0"/>
        <w:left w:val="single" w:color="000000" w:sz="8" w:space="0"/>
        <w:bottom w:val="single" w:color="000000" w:sz="4" w:space="0"/>
        <w:right w:val="single" w:color="000000" w:sz="8" w:space="0"/>
      </w:pBdr>
      <w:shd w:val="clear" w:color="000000" w:fill="FFFFFF"/>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7">
    <w:name w:val="xl81"/>
    <w:basedOn w:val="1"/>
    <w:qFormat/>
    <w:uiPriority w:val="0"/>
    <w:pPr>
      <w:widowControl/>
      <w:pBdr>
        <w:left w:val="single" w:color="000000" w:sz="8" w:space="0"/>
        <w:bottom w:val="single" w:color="000000" w:sz="8" w:space="0"/>
        <w:right w:val="single" w:color="000000" w:sz="8" w:space="0"/>
      </w:pBdr>
      <w:shd w:val="clear" w:color="000000" w:fill="FFFFFF"/>
      <w:spacing w:before="100" w:beforeAutospacing="1" w:after="100" w:afterAutospacing="1"/>
      <w:jc w:val="center"/>
      <w:textAlignment w:val="center"/>
    </w:pPr>
    <w:rPr>
      <w:rFonts w:ascii="宋体" w:hAnsi="宋体" w:cs="宋体"/>
      <w:color w:val="000000"/>
      <w:kern w:val="0"/>
      <w:sz w:val="16"/>
      <w:szCs w:val="16"/>
    </w:rPr>
  </w:style>
  <w:style w:type="paragraph" w:customStyle="1" w:styleId="28">
    <w:name w:val="xl63"/>
    <w:basedOn w:val="1"/>
    <w:qFormat/>
    <w:uiPriority w:val="0"/>
    <w:pPr>
      <w:widowControl/>
      <w:shd w:val="clear" w:color="000000" w:fill="FFFFFF"/>
      <w:spacing w:before="100" w:beforeAutospacing="1" w:after="100" w:afterAutospacing="1"/>
      <w:jc w:val="left"/>
      <w:textAlignment w:val="top"/>
    </w:pPr>
    <w:rPr>
      <w:rFonts w:ascii="SansSerif" w:hAnsi="SansSerif" w:cs="宋体"/>
      <w:color w:val="000000"/>
      <w:kern w:val="0"/>
      <w:sz w:val="24"/>
      <w:szCs w:val="24"/>
    </w:rPr>
  </w:style>
  <w:style w:type="paragraph" w:customStyle="1" w:styleId="29">
    <w:name w:val="xl64"/>
    <w:basedOn w:val="1"/>
    <w:qFormat/>
    <w:uiPriority w:val="0"/>
    <w:pPr>
      <w:widowControl/>
      <w:shd w:val="clear" w:color="000000" w:fill="FFFFFF"/>
      <w:spacing w:before="100" w:beforeAutospacing="1" w:after="100" w:afterAutospacing="1"/>
      <w:jc w:val="left"/>
      <w:textAlignment w:val="center"/>
    </w:pPr>
    <w:rPr>
      <w:rFonts w:ascii="宋体" w:hAnsi="宋体" w:cs="宋体"/>
      <w:color w:val="000000"/>
      <w:kern w:val="0"/>
      <w:sz w:val="16"/>
      <w:szCs w:val="16"/>
    </w:rPr>
  </w:style>
  <w:style w:type="character" w:customStyle="1" w:styleId="30">
    <w:name w:val="font21"/>
    <w:basedOn w:val="6"/>
    <w:qFormat/>
    <w:uiPriority w:val="0"/>
    <w:rPr>
      <w:rFonts w:hint="default" w:ascii="Calibri" w:hAnsi="Calibri" w:cs="Calibri"/>
      <w:color w:val="000000"/>
      <w:sz w:val="24"/>
      <w:szCs w:val="24"/>
      <w:u w:val="none"/>
    </w:rPr>
  </w:style>
  <w:style w:type="character" w:customStyle="1" w:styleId="31">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818</Words>
  <Characters>4665</Characters>
  <Lines>38</Lines>
  <Paragraphs>10</Paragraphs>
  <TotalTime>0</TotalTime>
  <ScaleCrop>false</ScaleCrop>
  <LinksUpToDate>false</LinksUpToDate>
  <CharactersWithSpaces>5473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2021-05-12T04:33:00Z</dcterms:created>
  <dc:creator>Administrator</dc:creator>
  <cp:lastModifiedBy>WPS_1512543177</cp:lastModifiedBy>
  <dcterms:modified xsi:type="dcterms:W3CDTF">2021-05-14T03:06:20Z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DE2C2892DB2644B48780007DBF7D8507</vt:lpwstr>
  </property>
</Properties>
</file>