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ACD" w:rsidRDefault="00266C09">
      <w:pPr>
        <w:pStyle w:val="Heading11"/>
        <w:keepNext/>
        <w:keepLines/>
        <w:pBdr>
          <w:top w:val="single" w:sz="4" w:space="0" w:color="auto"/>
          <w:left w:val="single" w:sz="4" w:space="0" w:color="auto"/>
          <w:bottom w:val="single" w:sz="4" w:space="0" w:color="auto"/>
          <w:right w:val="single" w:sz="4" w:space="0" w:color="auto"/>
        </w:pBdr>
        <w:spacing w:before="420" w:line="240" w:lineRule="auto"/>
      </w:pPr>
      <w:bookmarkStart w:id="0" w:name="bookmark151"/>
      <w:bookmarkStart w:id="1" w:name="bookmark152"/>
      <w:bookmarkStart w:id="2" w:name="bookmark150"/>
      <w:r>
        <w:t>工程建设项目施工招标投标办法</w:t>
      </w:r>
      <w:bookmarkEnd w:id="0"/>
      <w:bookmarkEnd w:id="1"/>
      <w:bookmarkEnd w:id="2"/>
    </w:p>
    <w:p w:rsidR="00245ACD" w:rsidRDefault="00266C09">
      <w:pPr>
        <w:pStyle w:val="Bodytext1"/>
        <w:pBdr>
          <w:top w:val="single" w:sz="4" w:space="0" w:color="auto"/>
          <w:left w:val="single" w:sz="4" w:space="0" w:color="auto"/>
          <w:bottom w:val="single" w:sz="4" w:space="0" w:color="auto"/>
          <w:right w:val="single" w:sz="4" w:space="0" w:color="auto"/>
        </w:pBdr>
        <w:spacing w:after="140" w:line="332" w:lineRule="exact"/>
        <w:ind w:firstLine="0"/>
        <w:jc w:val="center"/>
      </w:pPr>
      <w:r>
        <w:t>（七部委</w:t>
      </w:r>
      <w:r>
        <w:t>30</w:t>
      </w:r>
      <w:r>
        <w:t>号令）</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0"/>
        <w:jc w:val="center"/>
      </w:pPr>
      <w:r>
        <w:t>第一章总则</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第一条</w:t>
      </w:r>
      <w:r>
        <w:t xml:space="preserve"> </w:t>
      </w:r>
      <w:r>
        <w:t>为规范工程建设项目施工（以下简称工程施工）招标投标活动，根据</w:t>
      </w:r>
      <w:r>
        <w:t xml:space="preserve"> </w:t>
      </w:r>
      <w:r>
        <w:t>《中华人民共和国招标投标法》、《中华人民共和国招标投标法实施条例》和国务院</w:t>
      </w:r>
      <w:r>
        <w:t xml:space="preserve"> </w:t>
      </w:r>
      <w:r>
        <w:t>有关部门的职责分工，制定本办法。</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第二条在中华人民共和国境内进行工程施工招标投标活动，适用本办法。</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第三条</w:t>
      </w:r>
      <w:r>
        <w:t xml:space="preserve"> </w:t>
      </w:r>
      <w:r>
        <w:t>工程建设项目符合《工程建设项目招标范围和规模标准规定》（国家计</w:t>
      </w:r>
      <w:r>
        <w:t xml:space="preserve"> </w:t>
      </w:r>
      <w:r>
        <w:t>委令第</w:t>
      </w:r>
      <w:r>
        <w:t>3</w:t>
      </w:r>
      <w:r>
        <w:t>号）规定的范围和标准的，必须通过招标选择施工单位。</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任何单位和个人不得将依法必须进行招标的项目化整为零或者以其他任何方式规</w:t>
      </w:r>
      <w:r>
        <w:t xml:space="preserve"> </w:t>
      </w:r>
      <w:r>
        <w:t>避招标。</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第四条工程施工招标投标活动应当遵循公开、公平、公正和诚实信用的原则。</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第五条工程施工招标投标活动，依法由招标人负责。任何单位和个人不得以任</w:t>
      </w:r>
      <w:r>
        <w:t xml:space="preserve"> </w:t>
      </w:r>
      <w:r>
        <w:t>何方式非法干涉工程施工招标投标活动。</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施工招标投标活动不受地区或者部门的限制。</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第六条各级发展改革、工业和信息化、住房城乡建设、交通运输、铁道、水</w:t>
      </w:r>
      <w:r>
        <w:t xml:space="preserve"> </w:t>
      </w:r>
      <w:r>
        <w:t>利、商务、民航等部门依照《国务院办公厅印发国务院有关部门实施招标投标活动行</w:t>
      </w:r>
      <w:r>
        <w:t xml:space="preserve"> </w:t>
      </w:r>
      <w:r>
        <w:t>政监督的职责分工意见的通知》（国办发</w:t>
      </w:r>
      <w:r>
        <w:rPr>
          <w:lang w:val="en-US" w:eastAsia="zh-CN" w:bidi="en-US"/>
        </w:rPr>
        <w:t>[2000]</w:t>
      </w:r>
      <w:r>
        <w:t>34</w:t>
      </w:r>
      <w:r>
        <w:t>号）和各地规定的职责分工，对工</w:t>
      </w:r>
      <w:r>
        <w:t xml:space="preserve"> </w:t>
      </w:r>
      <w:r>
        <w:t>程施工招标投标活动实施监督，依法査处工程施工招标投标活动中的违法行为。</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0"/>
        <w:jc w:val="center"/>
      </w:pPr>
      <w:r>
        <w:t>第二章招标</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第七条</w:t>
      </w:r>
      <w:r>
        <w:t xml:space="preserve"> </w:t>
      </w:r>
      <w:r>
        <w:t>工程施工招标人是依法提出施工招标项目、进行招标的法人或者其他组</w:t>
      </w:r>
      <w:r>
        <w:t xml:space="preserve"> </w:t>
      </w:r>
      <w:r>
        <w:t>织。</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第八条</w:t>
      </w:r>
      <w:r>
        <w:t xml:space="preserve"> </w:t>
      </w:r>
      <w:r>
        <w:t>依法必须招标的工程建设项目，应当具备下列条件才能进行施工招标：</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73"/>
        </w:tabs>
        <w:spacing w:line="332" w:lineRule="exact"/>
        <w:ind w:firstLine="560"/>
        <w:jc w:val="both"/>
      </w:pPr>
      <w:bookmarkStart w:id="3" w:name="bookmark153"/>
      <w:r>
        <w:t>（</w:t>
      </w:r>
      <w:bookmarkEnd w:id="3"/>
      <w:r>
        <w:t>一）</w:t>
      </w:r>
      <w:r>
        <w:tab/>
      </w:r>
      <w:r>
        <w:t>招标人已经依法成立；</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73"/>
        </w:tabs>
        <w:spacing w:line="332" w:lineRule="exact"/>
        <w:ind w:firstLine="560"/>
        <w:jc w:val="both"/>
      </w:pPr>
      <w:bookmarkStart w:id="4" w:name="bookmark154"/>
      <w:r>
        <w:t>（</w:t>
      </w:r>
      <w:bookmarkEnd w:id="4"/>
      <w:r>
        <w:t>二）</w:t>
      </w:r>
      <w:r>
        <w:tab/>
      </w:r>
      <w:r>
        <w:t>初步设计及概算应当履行审批手续的，已经批准；</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73"/>
        </w:tabs>
        <w:spacing w:line="332" w:lineRule="exact"/>
        <w:ind w:firstLine="560"/>
        <w:jc w:val="both"/>
      </w:pPr>
      <w:bookmarkStart w:id="5" w:name="bookmark155"/>
      <w:r>
        <w:t>（</w:t>
      </w:r>
      <w:bookmarkEnd w:id="5"/>
      <w:r>
        <w:t>三）</w:t>
      </w:r>
      <w:r>
        <w:tab/>
      </w:r>
      <w:r>
        <w:t>有相应资金或资金来源已经落实；</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73"/>
        </w:tabs>
        <w:spacing w:line="332" w:lineRule="exact"/>
        <w:ind w:firstLine="560"/>
        <w:jc w:val="both"/>
      </w:pPr>
      <w:bookmarkStart w:id="6" w:name="bookmark156"/>
      <w:r>
        <w:t>（</w:t>
      </w:r>
      <w:bookmarkEnd w:id="6"/>
      <w:r>
        <w:t>四）</w:t>
      </w:r>
      <w:r>
        <w:tab/>
      </w:r>
      <w:r>
        <w:t>有招标所需的设计图纸及技术资料。</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第九条工程施工招标分为公开招标和邀请招标。</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第十条</w:t>
      </w:r>
      <w:r>
        <w:t xml:space="preserve"> </w:t>
      </w:r>
      <w:r>
        <w:t>按照国家有关规定需要履行项目审批、核准手续的依法必须进行施工</w:t>
      </w:r>
      <w:r>
        <w:t>招</w:t>
      </w:r>
      <w:r>
        <w:t xml:space="preserve"> </w:t>
      </w:r>
      <w:r>
        <w:t>标的工程建设项目，其招标范围、招标方式、招标组织形式应当报项目审批部门审</w:t>
      </w:r>
      <w:r>
        <w:t xml:space="preserve"> </w:t>
      </w:r>
      <w:r>
        <w:t>批、核准。项目审批、核准部门应当及时将审批、核准确定的招标内容通报有关行政</w:t>
      </w:r>
      <w:r>
        <w:t xml:space="preserve"> </w:t>
      </w:r>
      <w:r>
        <w:t>监督部门。</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第十一条依法必须进行公开招标的项目，有下列情形之一的，可以邀请招标：</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74"/>
        </w:tabs>
        <w:spacing w:line="332" w:lineRule="exact"/>
        <w:ind w:firstLine="560"/>
        <w:jc w:val="both"/>
      </w:pPr>
      <w:bookmarkStart w:id="7" w:name="bookmark157"/>
      <w:r>
        <w:t>（</w:t>
      </w:r>
      <w:bookmarkEnd w:id="7"/>
      <w:r>
        <w:t>一）</w:t>
      </w:r>
      <w:r>
        <w:tab/>
      </w:r>
      <w:r>
        <w:t>项目技术复杂或有特殊要求，或者受自然地域环境限制，只有少量潜在投</w:t>
      </w:r>
      <w:r>
        <w:t xml:space="preserve"> </w:t>
      </w:r>
      <w:r>
        <w:t>标人可供选择；</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78"/>
        </w:tabs>
        <w:spacing w:line="332" w:lineRule="exact"/>
        <w:ind w:firstLine="560"/>
        <w:jc w:val="both"/>
      </w:pPr>
      <w:bookmarkStart w:id="8" w:name="bookmark158"/>
      <w:r>
        <w:t>（</w:t>
      </w:r>
      <w:bookmarkEnd w:id="8"/>
      <w:r>
        <w:t>二）</w:t>
      </w:r>
      <w:r>
        <w:tab/>
      </w:r>
      <w:r>
        <w:t>涉及国家安全、国家秘密或者抢险救灾，适宜招标但不宜公开招标；</w:t>
      </w:r>
    </w:p>
    <w:p w:rsidR="00245ACD" w:rsidRDefault="00266C09">
      <w:pPr>
        <w:pStyle w:val="Bodytext1"/>
        <w:pBdr>
          <w:top w:val="single" w:sz="4" w:space="0" w:color="auto"/>
          <w:left w:val="single" w:sz="4" w:space="0" w:color="auto"/>
          <w:bottom w:val="single" w:sz="4" w:space="0" w:color="auto"/>
          <w:right w:val="single" w:sz="4" w:space="0" w:color="auto"/>
        </w:pBdr>
        <w:spacing w:line="333" w:lineRule="exact"/>
        <w:ind w:firstLine="560"/>
        <w:jc w:val="both"/>
      </w:pPr>
      <w:bookmarkStart w:id="9" w:name="bookmark159"/>
      <w:r>
        <w:t>（</w:t>
      </w:r>
      <w:bookmarkEnd w:id="9"/>
      <w:r>
        <w:t>三）采用公开招标方式的费用占项目合同金额的比例过大。</w:t>
      </w:r>
    </w:p>
    <w:p w:rsidR="00245ACD" w:rsidRDefault="00266C09">
      <w:pPr>
        <w:pStyle w:val="Bodytext1"/>
        <w:pBdr>
          <w:top w:val="single" w:sz="4" w:space="0" w:color="auto"/>
          <w:left w:val="single" w:sz="4" w:space="0" w:color="auto"/>
          <w:bottom w:val="single" w:sz="4" w:space="0" w:color="auto"/>
          <w:right w:val="single" w:sz="4" w:space="0" w:color="auto"/>
        </w:pBdr>
        <w:spacing w:line="333" w:lineRule="exact"/>
        <w:ind w:firstLine="440"/>
        <w:jc w:val="both"/>
      </w:pPr>
      <w:r>
        <w:t>有前款第二项所列情形，属于本办法第十条规定的项目，由项目审批、核准部门</w:t>
      </w:r>
      <w:r>
        <w:t xml:space="preserve"> </w:t>
      </w:r>
      <w:r>
        <w:t>在审批、核准项目时作出认定；其他项目由招标人申请有关行政监督部门作出认定。</w:t>
      </w:r>
    </w:p>
    <w:p w:rsidR="00245ACD" w:rsidRDefault="00266C09">
      <w:pPr>
        <w:pStyle w:val="Bodytext1"/>
        <w:pBdr>
          <w:top w:val="single" w:sz="4" w:space="0" w:color="auto"/>
          <w:left w:val="single" w:sz="4" w:space="0" w:color="auto"/>
          <w:bottom w:val="single" w:sz="4" w:space="0" w:color="auto"/>
          <w:right w:val="single" w:sz="4" w:space="0" w:color="auto"/>
        </w:pBdr>
        <w:spacing w:line="333" w:lineRule="exact"/>
        <w:ind w:firstLine="440"/>
        <w:jc w:val="both"/>
      </w:pPr>
      <w:r>
        <w:lastRenderedPageBreak/>
        <w:t>全部使用国有资金投资或者国有资金投资占控股或者主导地位的并需要审批的工</w:t>
      </w:r>
      <w:r>
        <w:t xml:space="preserve"> </w:t>
      </w:r>
      <w:r>
        <w:t>程建设项目的邀请招标，应当经项目审批部门批准，但项目审批部门只审批立项的，</w:t>
      </w:r>
      <w:r>
        <w:t xml:space="preserve"> </w:t>
      </w:r>
      <w:r>
        <w:t>由有关行政监督部门批准。</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第十二条依法必须进行施工招标的工程建设项目有下列情形之一的，可以不进</w:t>
      </w:r>
      <w:r>
        <w:t xml:space="preserve"> </w:t>
      </w:r>
      <w:r>
        <w:t>行施工招标：</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65"/>
        </w:tabs>
        <w:spacing w:line="332" w:lineRule="exact"/>
        <w:ind w:firstLine="560"/>
        <w:jc w:val="both"/>
      </w:pPr>
      <w:bookmarkStart w:id="10" w:name="bookmark160"/>
      <w:r>
        <w:t>（</w:t>
      </w:r>
      <w:bookmarkEnd w:id="10"/>
      <w:r>
        <w:t>一）</w:t>
      </w:r>
      <w:r>
        <w:tab/>
      </w:r>
      <w:r>
        <w:t>涉及国家安全、国家秘密、抢险救灾或者属于利用扶贫资金实行以工代赈</w:t>
      </w:r>
      <w:r>
        <w:t xml:space="preserve"> </w:t>
      </w:r>
      <w:r>
        <w:t>需要使用农民工等特殊情况，不适宜进行招标；</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78"/>
        </w:tabs>
        <w:spacing w:line="332" w:lineRule="exact"/>
        <w:ind w:firstLine="560"/>
        <w:jc w:val="both"/>
      </w:pPr>
      <w:bookmarkStart w:id="11" w:name="bookmark161"/>
      <w:r>
        <w:t>（</w:t>
      </w:r>
      <w:bookmarkEnd w:id="11"/>
      <w:r>
        <w:t>二）</w:t>
      </w:r>
      <w:r>
        <w:tab/>
      </w:r>
      <w:r>
        <w:t>施工主要技术釆用不可替代的专利或者专有技术；</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78"/>
        </w:tabs>
        <w:spacing w:line="332" w:lineRule="exact"/>
        <w:ind w:firstLine="560"/>
        <w:jc w:val="both"/>
      </w:pPr>
      <w:bookmarkStart w:id="12" w:name="bookmark162"/>
      <w:r>
        <w:t>（</w:t>
      </w:r>
      <w:bookmarkEnd w:id="12"/>
      <w:r>
        <w:t>三）</w:t>
      </w:r>
      <w:r>
        <w:tab/>
      </w:r>
      <w:r>
        <w:t>已通过招标方式选定的特许经营项目投资人依法能够自行建设；</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78"/>
        </w:tabs>
        <w:spacing w:line="332" w:lineRule="exact"/>
        <w:ind w:firstLine="560"/>
        <w:jc w:val="both"/>
      </w:pPr>
      <w:bookmarkStart w:id="13" w:name="bookmark163"/>
      <w:r>
        <w:t>（</w:t>
      </w:r>
      <w:bookmarkEnd w:id="13"/>
      <w:r>
        <w:t>四）</w:t>
      </w:r>
      <w:r>
        <w:tab/>
      </w:r>
      <w:r>
        <w:t>采购人依法能够自行建设；</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74"/>
        </w:tabs>
        <w:spacing w:line="332" w:lineRule="exact"/>
        <w:ind w:firstLine="560"/>
        <w:jc w:val="both"/>
      </w:pPr>
      <w:bookmarkStart w:id="14" w:name="bookmark164"/>
      <w:r>
        <w:t>（</w:t>
      </w:r>
      <w:bookmarkEnd w:id="14"/>
      <w:r>
        <w:t>五）</w:t>
      </w:r>
      <w:r>
        <w:tab/>
      </w:r>
      <w:r>
        <w:t>在建工程追加的附属小型工程或者主体加层工程，原中标人仍具备承包能</w:t>
      </w:r>
      <w:r>
        <w:t xml:space="preserve"> </w:t>
      </w:r>
      <w:r>
        <w:t>力，并且其他人承担将影响施工或者功能配套要求；</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78"/>
        </w:tabs>
        <w:spacing w:line="332" w:lineRule="exact"/>
        <w:ind w:firstLine="560"/>
        <w:jc w:val="both"/>
      </w:pPr>
      <w:bookmarkStart w:id="15" w:name="bookmark165"/>
      <w:r>
        <w:t>（</w:t>
      </w:r>
      <w:bookmarkEnd w:id="15"/>
      <w:r>
        <w:t>六）</w:t>
      </w:r>
      <w:r>
        <w:tab/>
      </w:r>
      <w:r>
        <w:t>国家规定的其他情形。</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第十三条</w:t>
      </w:r>
      <w:r>
        <w:t xml:space="preserve"> </w:t>
      </w:r>
      <w:r>
        <w:t>釆用公开招标方式的，招标人应当发布招标公告，邀请不特定的法人</w:t>
      </w:r>
      <w:r>
        <w:t xml:space="preserve"> </w:t>
      </w:r>
      <w:r>
        <w:t>或者其他组织投标。依法必须进行施工招标项目的招标公告，应当在国家指定的报刊</w:t>
      </w:r>
      <w:r>
        <w:t xml:space="preserve"> </w:t>
      </w:r>
      <w:r>
        <w:t>和信息网络上发布。</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釆用邀请招标方式的，招标人应当向三家以上具备承担施工招标项目的能力、资</w:t>
      </w:r>
      <w:r>
        <w:t xml:space="preserve"> </w:t>
      </w:r>
      <w:r>
        <w:t>信良好的特定的法人或者其他组织发出投标邀请书。</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第十四条招标公告或者投标邀请书应当至少载明下列内容：</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73"/>
        </w:tabs>
        <w:spacing w:line="332" w:lineRule="exact"/>
        <w:ind w:firstLine="560"/>
        <w:jc w:val="both"/>
      </w:pPr>
      <w:bookmarkStart w:id="16" w:name="bookmark166"/>
      <w:r>
        <w:t>（</w:t>
      </w:r>
      <w:bookmarkEnd w:id="16"/>
      <w:r>
        <w:t>一）</w:t>
      </w:r>
      <w:r>
        <w:tab/>
      </w:r>
      <w:r>
        <w:t>招标人的名称和地址；</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73"/>
        </w:tabs>
        <w:spacing w:line="332" w:lineRule="exact"/>
        <w:ind w:firstLine="560"/>
        <w:jc w:val="both"/>
      </w:pPr>
      <w:bookmarkStart w:id="17" w:name="bookmark167"/>
      <w:r>
        <w:t>（</w:t>
      </w:r>
      <w:bookmarkEnd w:id="17"/>
      <w:r>
        <w:t>二）</w:t>
      </w:r>
      <w:r>
        <w:tab/>
      </w:r>
      <w:r>
        <w:t>招标项目的内容、规模、资金来源；</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73"/>
        </w:tabs>
        <w:spacing w:line="332" w:lineRule="exact"/>
        <w:ind w:firstLine="560"/>
        <w:jc w:val="both"/>
      </w:pPr>
      <w:bookmarkStart w:id="18" w:name="bookmark168"/>
      <w:r>
        <w:t>（</w:t>
      </w:r>
      <w:bookmarkEnd w:id="18"/>
      <w:r>
        <w:t>三）</w:t>
      </w:r>
      <w:r>
        <w:tab/>
      </w:r>
      <w:r>
        <w:t>招标项目的实施地点和工期；</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73"/>
        </w:tabs>
        <w:spacing w:line="332" w:lineRule="exact"/>
        <w:ind w:firstLine="560"/>
        <w:jc w:val="both"/>
      </w:pPr>
      <w:bookmarkStart w:id="19" w:name="bookmark169"/>
      <w:r>
        <w:t>（</w:t>
      </w:r>
      <w:bookmarkEnd w:id="19"/>
      <w:r>
        <w:t>四）</w:t>
      </w:r>
      <w:r>
        <w:tab/>
      </w:r>
      <w:r>
        <w:t>获取招标文件或者资格预审文件的地点和时间；</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73"/>
        </w:tabs>
        <w:spacing w:line="332" w:lineRule="exact"/>
        <w:ind w:firstLine="560"/>
        <w:jc w:val="both"/>
      </w:pPr>
      <w:bookmarkStart w:id="20" w:name="bookmark170"/>
      <w:r>
        <w:t>（</w:t>
      </w:r>
      <w:bookmarkEnd w:id="20"/>
      <w:r>
        <w:t>五）</w:t>
      </w:r>
      <w:r>
        <w:tab/>
      </w:r>
      <w:r>
        <w:t>对招标文件或者资格预审文件收取的费用；</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73"/>
        </w:tabs>
        <w:spacing w:line="332" w:lineRule="exact"/>
        <w:ind w:firstLine="560"/>
        <w:jc w:val="both"/>
      </w:pPr>
      <w:bookmarkStart w:id="21" w:name="bookmark171"/>
      <w:r>
        <w:t>（</w:t>
      </w:r>
      <w:bookmarkEnd w:id="21"/>
      <w:r>
        <w:t>六）</w:t>
      </w:r>
      <w:r>
        <w:tab/>
      </w:r>
      <w:r>
        <w:t>对招标人的资质等级的要求。</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第十五条招标人应当按招标公告或者投标邀请书规定的时间、地点出售招标文</w:t>
      </w:r>
      <w:r>
        <w:t xml:space="preserve"> </w:t>
      </w:r>
      <w:r>
        <w:t>件或</w:t>
      </w:r>
      <w:r>
        <w:t>资格预审文件。自招标文件或者资格预审文件出售之日起至停止出售之日止，最</w:t>
      </w:r>
      <w:r>
        <w:t xml:space="preserve"> </w:t>
      </w:r>
      <w:r>
        <w:t>短不得少于五日。</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招标人可以通过信息网络或者其他媒介发布招标文件，通过信息网络或者其他媒</w:t>
      </w:r>
      <w:r>
        <w:t xml:space="preserve"> </w:t>
      </w:r>
      <w:r>
        <w:t>介发布的招标文件与书面招标文件具有同等法律效力，出现不一致时以书面招标文件</w:t>
      </w:r>
      <w:r>
        <w:t xml:space="preserve"> </w:t>
      </w:r>
      <w:r>
        <w:t>为准，国家另有规定的除外。</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对招标文件或者资格预审文件的收费应当限于补偿印刷、邮寄的成本支出，不得</w:t>
      </w:r>
      <w:r>
        <w:t xml:space="preserve"> </w:t>
      </w:r>
      <w:r>
        <w:t>以营利为目的。对于所附的设计文件，招标人可以向投标人酌收押金；对于开标后投</w:t>
      </w:r>
      <w:r>
        <w:t xml:space="preserve"> </w:t>
      </w:r>
      <w:r>
        <w:t>标人退还设计文件的，招标人应当向投标人退还押金。</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招标文件或者资格预审文件售出后，不予退还。除不可抗力原因外，招标人在发</w:t>
      </w:r>
      <w:r>
        <w:t xml:space="preserve"> </w:t>
      </w:r>
      <w:r>
        <w:t>布招标公告、发出投标邀请书后或者售出招标文件或资格预审文件后不得终止招标。</w:t>
      </w:r>
    </w:p>
    <w:p w:rsidR="00245ACD" w:rsidRDefault="00266C09">
      <w:pPr>
        <w:pStyle w:val="Bodytext1"/>
        <w:pBdr>
          <w:top w:val="single" w:sz="4" w:space="0" w:color="auto"/>
          <w:left w:val="single" w:sz="4" w:space="0" w:color="auto"/>
          <w:bottom w:val="single" w:sz="4" w:space="0" w:color="auto"/>
          <w:right w:val="single" w:sz="4" w:space="0" w:color="auto"/>
        </w:pBdr>
        <w:spacing w:line="330" w:lineRule="exact"/>
        <w:ind w:firstLine="440"/>
        <w:jc w:val="both"/>
      </w:pPr>
      <w:r>
        <w:t>第十六条招标人可以根据招标项目本身的特点和需要，要求潜在投标人或者投</w:t>
      </w:r>
      <w:r>
        <w:t xml:space="preserve"> </w:t>
      </w:r>
      <w:r>
        <w:t>标人提供满足其资格要求的文件，对潜在投标人或者投标人进行资格审査；国家对潜</w:t>
      </w:r>
      <w:r>
        <w:t xml:space="preserve"> </w:t>
      </w:r>
      <w:r>
        <w:t>在投标人或者投标人的资格条件有规定的，依照其规定。</w:t>
      </w:r>
    </w:p>
    <w:p w:rsidR="00245ACD" w:rsidRDefault="00266C09">
      <w:pPr>
        <w:pStyle w:val="Bodytext1"/>
        <w:pBdr>
          <w:top w:val="single" w:sz="4" w:space="0" w:color="auto"/>
          <w:left w:val="single" w:sz="4" w:space="0" w:color="auto"/>
          <w:bottom w:val="single" w:sz="4" w:space="0" w:color="auto"/>
          <w:right w:val="single" w:sz="4" w:space="0" w:color="auto"/>
        </w:pBdr>
        <w:spacing w:line="330" w:lineRule="exact"/>
        <w:ind w:firstLine="440"/>
        <w:jc w:val="both"/>
      </w:pPr>
      <w:r>
        <w:t>第十七条资格审查分为资格预审和资格后审。</w:t>
      </w:r>
    </w:p>
    <w:p w:rsidR="00245ACD" w:rsidRDefault="00266C09">
      <w:pPr>
        <w:pStyle w:val="Bodytext1"/>
        <w:pBdr>
          <w:top w:val="single" w:sz="4" w:space="0" w:color="auto"/>
          <w:left w:val="single" w:sz="4" w:space="0" w:color="auto"/>
          <w:bottom w:val="single" w:sz="4" w:space="0" w:color="auto"/>
          <w:right w:val="single" w:sz="4" w:space="0" w:color="auto"/>
        </w:pBdr>
        <w:spacing w:line="330" w:lineRule="exact"/>
        <w:ind w:firstLine="440"/>
        <w:jc w:val="both"/>
      </w:pPr>
      <w:r>
        <w:lastRenderedPageBreak/>
        <w:t>资格预审，是指在投标前对潜在投标人进行的资格审查。</w:t>
      </w:r>
    </w:p>
    <w:p w:rsidR="00245ACD" w:rsidRDefault="00266C09">
      <w:pPr>
        <w:pStyle w:val="Bodytext1"/>
        <w:pBdr>
          <w:top w:val="single" w:sz="4" w:space="0" w:color="auto"/>
          <w:left w:val="single" w:sz="4" w:space="0" w:color="auto"/>
          <w:bottom w:val="single" w:sz="4" w:space="0" w:color="auto"/>
          <w:right w:val="single" w:sz="4" w:space="0" w:color="auto"/>
        </w:pBdr>
        <w:spacing w:line="330" w:lineRule="exact"/>
        <w:ind w:firstLine="440"/>
        <w:jc w:val="both"/>
      </w:pPr>
      <w:r>
        <w:t>资格后审，是指在开标后对投标人进行的资格审查。</w:t>
      </w:r>
    </w:p>
    <w:p w:rsidR="00245ACD" w:rsidRDefault="00266C09">
      <w:pPr>
        <w:pStyle w:val="Bodytext1"/>
        <w:pBdr>
          <w:top w:val="single" w:sz="4" w:space="0" w:color="auto"/>
          <w:left w:val="single" w:sz="4" w:space="0" w:color="auto"/>
          <w:bottom w:val="single" w:sz="4" w:space="0" w:color="auto"/>
          <w:right w:val="single" w:sz="4" w:space="0" w:color="auto"/>
        </w:pBdr>
        <w:spacing w:line="330" w:lineRule="exact"/>
        <w:ind w:firstLine="440"/>
        <w:jc w:val="both"/>
      </w:pPr>
      <w:r>
        <w:t>进行资格预审的，一般不再</w:t>
      </w:r>
      <w:r>
        <w:t>进行资格后审，但招标文件另有规定的除外。</w:t>
      </w:r>
    </w:p>
    <w:p w:rsidR="00245ACD" w:rsidRDefault="00266C09">
      <w:pPr>
        <w:pStyle w:val="Bodytext1"/>
        <w:pBdr>
          <w:top w:val="single" w:sz="4" w:space="0" w:color="auto"/>
          <w:left w:val="single" w:sz="4" w:space="0" w:color="auto"/>
          <w:bottom w:val="single" w:sz="4" w:space="0" w:color="auto"/>
          <w:right w:val="single" w:sz="4" w:space="0" w:color="auto"/>
        </w:pBdr>
        <w:spacing w:line="330" w:lineRule="exact"/>
        <w:ind w:firstLine="440"/>
        <w:jc w:val="both"/>
      </w:pPr>
      <w:r>
        <w:t>第十八条</w:t>
      </w:r>
      <w:r>
        <w:t xml:space="preserve"> </w:t>
      </w:r>
      <w:r>
        <w:t>釆取资格预审的，招标人应当发布资格预审公告。资格预审公告适用</w:t>
      </w:r>
      <w:r>
        <w:t xml:space="preserve"> </w:t>
      </w:r>
      <w:r>
        <w:t>本办法第十三条、第十四条有关招标公告的规定。</w:t>
      </w:r>
    </w:p>
    <w:p w:rsidR="00245ACD" w:rsidRDefault="00266C09">
      <w:pPr>
        <w:pStyle w:val="Bodytext1"/>
        <w:pBdr>
          <w:top w:val="single" w:sz="4" w:space="0" w:color="auto"/>
          <w:left w:val="single" w:sz="4" w:space="0" w:color="auto"/>
          <w:bottom w:val="single" w:sz="4" w:space="0" w:color="auto"/>
          <w:right w:val="single" w:sz="4" w:space="0" w:color="auto"/>
        </w:pBdr>
        <w:spacing w:line="330" w:lineRule="exact"/>
        <w:ind w:firstLine="440"/>
        <w:jc w:val="both"/>
      </w:pPr>
      <w:r>
        <w:t>采取资格预审的，招标人应当在资格预审文件中载明资格预审的条件、标准和方</w:t>
      </w:r>
      <w:r>
        <w:t xml:space="preserve"> </w:t>
      </w:r>
      <w:r>
        <w:t>法；釆取资格后审的，招标人应当在招标文件中载明对投标人资格要求的条件、标准</w:t>
      </w:r>
      <w:r>
        <w:t xml:space="preserve"> </w:t>
      </w:r>
      <w:r>
        <w:t>和方法。</w:t>
      </w:r>
    </w:p>
    <w:p w:rsidR="00245ACD" w:rsidRDefault="00266C09">
      <w:pPr>
        <w:pStyle w:val="Bodytext1"/>
        <w:pBdr>
          <w:top w:val="single" w:sz="4" w:space="0" w:color="auto"/>
          <w:left w:val="single" w:sz="4" w:space="0" w:color="auto"/>
          <w:bottom w:val="single" w:sz="4" w:space="0" w:color="auto"/>
          <w:right w:val="single" w:sz="4" w:space="0" w:color="auto"/>
        </w:pBdr>
        <w:spacing w:line="330" w:lineRule="exact"/>
        <w:ind w:firstLine="440"/>
        <w:jc w:val="both"/>
      </w:pPr>
      <w:r>
        <w:t>招标人不得改变载明的资格条件或者以没有载明的资格条件对潜在投标人或者投</w:t>
      </w:r>
      <w:r>
        <w:t xml:space="preserve"> </w:t>
      </w:r>
      <w:r>
        <w:t>标人进行资格审查。</w:t>
      </w:r>
    </w:p>
    <w:p w:rsidR="00245ACD" w:rsidRDefault="00266C09">
      <w:pPr>
        <w:pStyle w:val="Bodytext1"/>
        <w:pBdr>
          <w:top w:val="single" w:sz="4" w:space="0" w:color="auto"/>
          <w:left w:val="single" w:sz="4" w:space="0" w:color="auto"/>
          <w:bottom w:val="single" w:sz="4" w:space="0" w:color="auto"/>
          <w:right w:val="single" w:sz="4" w:space="0" w:color="auto"/>
        </w:pBdr>
        <w:spacing w:line="330" w:lineRule="exact"/>
        <w:ind w:firstLine="440"/>
        <w:jc w:val="both"/>
      </w:pPr>
      <w:r>
        <w:t>第十九条经资格预审后，招标人应当向资格预审合格的潜在投标人发出资格预</w:t>
      </w:r>
      <w:r>
        <w:t xml:space="preserve"> </w:t>
      </w:r>
      <w:r>
        <w:t>审合格通知书，告知获取招标文件的</w:t>
      </w:r>
      <w:r>
        <w:t>时间、地点和方法，并同时向资格预审不合格的</w:t>
      </w:r>
      <w:r>
        <w:t xml:space="preserve"> </w:t>
      </w:r>
      <w:r>
        <w:t>潜在投标人告知资格预审结果。资格预审不合格的潜在投标人不得参加投标。</w:t>
      </w:r>
    </w:p>
    <w:p w:rsidR="00245ACD" w:rsidRDefault="00266C09">
      <w:pPr>
        <w:pStyle w:val="Bodytext1"/>
        <w:pBdr>
          <w:top w:val="single" w:sz="4" w:space="0" w:color="auto"/>
          <w:left w:val="single" w:sz="4" w:space="0" w:color="auto"/>
          <w:bottom w:val="single" w:sz="4" w:space="0" w:color="auto"/>
          <w:right w:val="single" w:sz="4" w:space="0" w:color="auto"/>
        </w:pBdr>
        <w:spacing w:line="330" w:lineRule="exact"/>
        <w:ind w:firstLine="440"/>
        <w:jc w:val="both"/>
      </w:pPr>
      <w:r>
        <w:t>经资格后审不合格的投标人的投标应予否决。</w:t>
      </w:r>
    </w:p>
    <w:p w:rsidR="00245ACD" w:rsidRDefault="00266C09">
      <w:pPr>
        <w:pStyle w:val="Bodytext1"/>
        <w:pBdr>
          <w:top w:val="single" w:sz="4" w:space="0" w:color="auto"/>
          <w:left w:val="single" w:sz="4" w:space="0" w:color="auto"/>
          <w:bottom w:val="single" w:sz="4" w:space="0" w:color="auto"/>
          <w:right w:val="single" w:sz="4" w:space="0" w:color="auto"/>
        </w:pBdr>
        <w:spacing w:line="330" w:lineRule="exact"/>
        <w:ind w:firstLine="440"/>
        <w:jc w:val="both"/>
      </w:pPr>
      <w:r>
        <w:t>第二十条资格审查应主要审查潜在投标人或者投标人是否符合下列条件：</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73"/>
        </w:tabs>
        <w:spacing w:line="330" w:lineRule="exact"/>
        <w:ind w:firstLine="560"/>
        <w:jc w:val="both"/>
      </w:pPr>
      <w:bookmarkStart w:id="22" w:name="bookmark172"/>
      <w:r>
        <w:t>（</w:t>
      </w:r>
      <w:bookmarkEnd w:id="22"/>
      <w:r>
        <w:t>一）</w:t>
      </w:r>
      <w:r>
        <w:tab/>
      </w:r>
      <w:r>
        <w:t>具有独立订立合同的权利；</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74"/>
        </w:tabs>
        <w:spacing w:line="331" w:lineRule="exact"/>
        <w:ind w:firstLine="560"/>
        <w:jc w:val="both"/>
      </w:pPr>
      <w:bookmarkStart w:id="23" w:name="bookmark173"/>
      <w:r>
        <w:t>（</w:t>
      </w:r>
      <w:bookmarkEnd w:id="23"/>
      <w:r>
        <w:t>二）</w:t>
      </w:r>
      <w:r>
        <w:tab/>
      </w:r>
      <w:r>
        <w:t>具有履行合同的能力，包括专业、技术资格和能力，资金、设备和其他物</w:t>
      </w:r>
      <w:r>
        <w:t xml:space="preserve"> </w:t>
      </w:r>
      <w:r>
        <w:t>质设施状况，管理能力，经验、信誉和相应的从业人员；</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78"/>
        </w:tabs>
        <w:spacing w:line="331" w:lineRule="exact"/>
        <w:ind w:firstLine="560"/>
        <w:jc w:val="both"/>
      </w:pPr>
      <w:bookmarkStart w:id="24" w:name="bookmark174"/>
      <w:r>
        <w:t>（</w:t>
      </w:r>
      <w:bookmarkEnd w:id="24"/>
      <w:r>
        <w:t>三）</w:t>
      </w:r>
      <w:r>
        <w:tab/>
      </w:r>
      <w:r>
        <w:t>没有处于被责令停业，投标资格被取消，财产被接管、冻结，破产状态；</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78"/>
        </w:tabs>
        <w:spacing w:line="331" w:lineRule="exact"/>
        <w:ind w:firstLine="560"/>
        <w:jc w:val="both"/>
      </w:pPr>
      <w:bookmarkStart w:id="25" w:name="bookmark175"/>
      <w:r>
        <w:t>（</w:t>
      </w:r>
      <w:bookmarkEnd w:id="25"/>
      <w:r>
        <w:t>四）</w:t>
      </w:r>
      <w:r>
        <w:tab/>
      </w:r>
      <w:r>
        <w:t>在最近三年内没有骗取中标和严重违约及重大工程质量问题；</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78"/>
        </w:tabs>
        <w:spacing w:line="331" w:lineRule="exact"/>
        <w:ind w:firstLine="560"/>
        <w:jc w:val="both"/>
      </w:pPr>
      <w:bookmarkStart w:id="26" w:name="bookmark176"/>
      <w:r>
        <w:t>（</w:t>
      </w:r>
      <w:bookmarkEnd w:id="26"/>
      <w:r>
        <w:t>五）</w:t>
      </w:r>
      <w:r>
        <w:tab/>
      </w:r>
      <w:r>
        <w:t>国家规定的其他资格条件。</w:t>
      </w:r>
    </w:p>
    <w:p w:rsidR="00245ACD" w:rsidRDefault="00266C09">
      <w:pPr>
        <w:pStyle w:val="Bodytext1"/>
        <w:pBdr>
          <w:top w:val="single" w:sz="4" w:space="0" w:color="auto"/>
          <w:left w:val="single" w:sz="4" w:space="0" w:color="auto"/>
          <w:bottom w:val="single" w:sz="4" w:space="0" w:color="auto"/>
          <w:right w:val="single" w:sz="4" w:space="0" w:color="auto"/>
        </w:pBdr>
        <w:spacing w:line="331" w:lineRule="exact"/>
        <w:ind w:firstLine="440"/>
        <w:jc w:val="both"/>
      </w:pPr>
      <w:r>
        <w:t>资格审査时，招标人不得以不合理的条件限制、排斥潜在投标人或者投标人，不</w:t>
      </w:r>
      <w:r>
        <w:t xml:space="preserve"> </w:t>
      </w:r>
      <w:r>
        <w:t>得对潜在投标人或者投标人实行歧视待遇。任何单位和个人不得以行政手段或者其他</w:t>
      </w:r>
      <w:r>
        <w:t xml:space="preserve"> </w:t>
      </w:r>
      <w:r>
        <w:t>不合理方式限制投标人的数量。</w:t>
      </w:r>
    </w:p>
    <w:p w:rsidR="00245ACD" w:rsidRDefault="00266C09">
      <w:pPr>
        <w:pStyle w:val="Bodytext1"/>
        <w:pBdr>
          <w:top w:val="single" w:sz="4" w:space="0" w:color="auto"/>
          <w:left w:val="single" w:sz="4" w:space="0" w:color="auto"/>
          <w:bottom w:val="single" w:sz="4" w:space="0" w:color="auto"/>
          <w:right w:val="single" w:sz="4" w:space="0" w:color="auto"/>
        </w:pBdr>
        <w:spacing w:line="331" w:lineRule="exact"/>
        <w:ind w:firstLine="440"/>
        <w:jc w:val="both"/>
      </w:pPr>
      <w:r>
        <w:t>第二十一条</w:t>
      </w:r>
      <w:r>
        <w:t xml:space="preserve"> </w:t>
      </w:r>
      <w:r>
        <w:t>招标人符合法律规定的自行招标条件的，可以自行办理招标事宜。</w:t>
      </w:r>
      <w:r>
        <w:t xml:space="preserve"> </w:t>
      </w:r>
      <w:r>
        <w:t>任何单位和个人不得强制其委托招标代理机构办理招标事宜。</w:t>
      </w:r>
    </w:p>
    <w:p w:rsidR="00245ACD" w:rsidRDefault="00266C09">
      <w:pPr>
        <w:pStyle w:val="Bodytext1"/>
        <w:pBdr>
          <w:top w:val="single" w:sz="4" w:space="0" w:color="auto"/>
          <w:left w:val="single" w:sz="4" w:space="0" w:color="auto"/>
          <w:bottom w:val="single" w:sz="4" w:space="0" w:color="auto"/>
          <w:right w:val="single" w:sz="4" w:space="0" w:color="auto"/>
        </w:pBdr>
        <w:spacing w:line="331" w:lineRule="exact"/>
        <w:ind w:firstLine="440"/>
        <w:jc w:val="both"/>
      </w:pPr>
      <w:r>
        <w:t>第二十二条招标代理机构应当在招标人委托的范围内承担招标事宜。招标代理</w:t>
      </w:r>
      <w:r>
        <w:t xml:space="preserve"> </w:t>
      </w:r>
      <w:r>
        <w:t>机构可以在其资格等级范围内承担下列招标事宜：</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73"/>
        </w:tabs>
        <w:spacing w:line="331" w:lineRule="exact"/>
        <w:ind w:firstLine="560"/>
        <w:jc w:val="both"/>
      </w:pPr>
      <w:bookmarkStart w:id="27" w:name="bookmark177"/>
      <w:r>
        <w:t>（</w:t>
      </w:r>
      <w:bookmarkEnd w:id="27"/>
      <w:r>
        <w:t>一）</w:t>
      </w:r>
      <w:r>
        <w:tab/>
      </w:r>
      <w:r>
        <w:t>拟订招标方案，编制和出售招标文件、资格预审文件；</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73"/>
        </w:tabs>
        <w:spacing w:line="331" w:lineRule="exact"/>
        <w:ind w:firstLine="560"/>
        <w:jc w:val="both"/>
      </w:pPr>
      <w:bookmarkStart w:id="28" w:name="bookmark178"/>
      <w:r>
        <w:t>（</w:t>
      </w:r>
      <w:bookmarkEnd w:id="28"/>
      <w:r>
        <w:t>二）</w:t>
      </w:r>
      <w:r>
        <w:tab/>
      </w:r>
      <w:r>
        <w:t>审査投标人资格；</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73"/>
        </w:tabs>
        <w:spacing w:line="331" w:lineRule="exact"/>
        <w:ind w:firstLine="560"/>
        <w:jc w:val="both"/>
      </w:pPr>
      <w:bookmarkStart w:id="29" w:name="bookmark179"/>
      <w:r>
        <w:t>（</w:t>
      </w:r>
      <w:bookmarkEnd w:id="29"/>
      <w:r>
        <w:t>三）</w:t>
      </w:r>
      <w:r>
        <w:tab/>
      </w:r>
      <w:r>
        <w:t>编制标底；</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73"/>
        </w:tabs>
        <w:spacing w:line="331" w:lineRule="exact"/>
        <w:ind w:firstLine="560"/>
        <w:jc w:val="both"/>
      </w:pPr>
      <w:bookmarkStart w:id="30" w:name="bookmark180"/>
      <w:r>
        <w:t>（</w:t>
      </w:r>
      <w:bookmarkEnd w:id="30"/>
      <w:r>
        <w:t>四）</w:t>
      </w:r>
      <w:r>
        <w:tab/>
      </w:r>
      <w:r>
        <w:t>组织投标人踏勘现场；</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73"/>
        </w:tabs>
        <w:spacing w:line="331" w:lineRule="exact"/>
        <w:ind w:firstLine="560"/>
        <w:jc w:val="both"/>
      </w:pPr>
      <w:bookmarkStart w:id="31" w:name="bookmark181"/>
      <w:r>
        <w:t>（</w:t>
      </w:r>
      <w:bookmarkEnd w:id="31"/>
      <w:r>
        <w:t>五）</w:t>
      </w:r>
      <w:r>
        <w:tab/>
      </w:r>
      <w:r>
        <w:t>组织开标、评标，协助招标人定标；</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73"/>
        </w:tabs>
        <w:spacing w:line="332" w:lineRule="exact"/>
        <w:ind w:firstLine="560"/>
      </w:pPr>
      <w:bookmarkStart w:id="32" w:name="bookmark182"/>
      <w:r>
        <w:t>（</w:t>
      </w:r>
      <w:bookmarkEnd w:id="32"/>
      <w:r>
        <w:t>六）</w:t>
      </w:r>
      <w:r>
        <w:tab/>
      </w:r>
      <w:r>
        <w:t>草拟合同；</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73"/>
        </w:tabs>
        <w:spacing w:line="332" w:lineRule="exact"/>
        <w:ind w:firstLine="560"/>
      </w:pPr>
      <w:bookmarkStart w:id="33" w:name="bookmark183"/>
      <w:r>
        <w:t>（</w:t>
      </w:r>
      <w:bookmarkEnd w:id="33"/>
      <w:r>
        <w:t>七）</w:t>
      </w:r>
      <w:r>
        <w:tab/>
      </w:r>
      <w:r>
        <w:t>招标人委托的其他事项。</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pPr>
      <w:r>
        <w:t>招标代理机构不得无权代理、越权代理，不得明知委托事项违法而进行代理。</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招标代理机构不得在所代理的招标项目中投标或者代理投标，也不得为所代理的</w:t>
      </w:r>
      <w:r>
        <w:t xml:space="preserve"> </w:t>
      </w:r>
      <w:r>
        <w:t>招标项目的投标人提供咨询；未经招标人同意，不得转让招标代理业务。</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第二十三条工程招标代理机构与招标人应当签订书面委托合同，并按双方约定</w:t>
      </w:r>
      <w:r>
        <w:t xml:space="preserve"> </w:t>
      </w:r>
      <w:r>
        <w:t>的标准收取</w:t>
      </w:r>
      <w:r>
        <w:lastRenderedPageBreak/>
        <w:t>代理费；国家对收费标准有规定的，依照其规定。</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第二十四条</w:t>
      </w:r>
      <w:r>
        <w:t xml:space="preserve"> </w:t>
      </w:r>
      <w:r>
        <w:t>招标人根据施工招标项目的特点和需要编制招标文件。招标文件一</w:t>
      </w:r>
      <w:r>
        <w:t xml:space="preserve"> </w:t>
      </w:r>
      <w:r>
        <w:t>般包括下列内容：</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73"/>
        </w:tabs>
        <w:spacing w:line="332" w:lineRule="exact"/>
        <w:ind w:firstLine="560"/>
      </w:pPr>
      <w:bookmarkStart w:id="34" w:name="bookmark184"/>
      <w:r>
        <w:t>（</w:t>
      </w:r>
      <w:bookmarkEnd w:id="34"/>
      <w:r>
        <w:t>一）</w:t>
      </w:r>
      <w:r>
        <w:tab/>
      </w:r>
      <w:r>
        <w:t>招标公告或投标邀请书；</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73"/>
        </w:tabs>
        <w:spacing w:line="332" w:lineRule="exact"/>
        <w:ind w:firstLine="560"/>
      </w:pPr>
      <w:bookmarkStart w:id="35" w:name="bookmark185"/>
      <w:r>
        <w:t>（</w:t>
      </w:r>
      <w:bookmarkEnd w:id="35"/>
      <w:r>
        <w:t>二）</w:t>
      </w:r>
      <w:r>
        <w:tab/>
      </w:r>
      <w:r>
        <w:t>投标人须知；</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73"/>
        </w:tabs>
        <w:spacing w:line="332" w:lineRule="exact"/>
        <w:ind w:firstLine="560"/>
      </w:pPr>
      <w:bookmarkStart w:id="36" w:name="bookmark186"/>
      <w:r>
        <w:t>（</w:t>
      </w:r>
      <w:bookmarkEnd w:id="36"/>
      <w:r>
        <w:t>三）</w:t>
      </w:r>
      <w:r>
        <w:tab/>
      </w:r>
      <w:r>
        <w:t>合同主要条款；</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73"/>
        </w:tabs>
        <w:spacing w:line="332" w:lineRule="exact"/>
        <w:ind w:firstLine="560"/>
      </w:pPr>
      <w:bookmarkStart w:id="37" w:name="bookmark187"/>
      <w:r>
        <w:t>（</w:t>
      </w:r>
      <w:bookmarkEnd w:id="37"/>
      <w:r>
        <w:t>四）</w:t>
      </w:r>
      <w:r>
        <w:tab/>
      </w:r>
      <w:r>
        <w:t>投标文件格式；</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73"/>
        </w:tabs>
        <w:spacing w:line="332" w:lineRule="exact"/>
        <w:ind w:firstLine="560"/>
      </w:pPr>
      <w:bookmarkStart w:id="38" w:name="bookmark188"/>
      <w:r>
        <w:t>（</w:t>
      </w:r>
      <w:bookmarkEnd w:id="38"/>
      <w:r>
        <w:t>五）</w:t>
      </w:r>
      <w:r>
        <w:tab/>
      </w:r>
      <w:r>
        <w:t>釆用工程量清单招标的，应当提供工程量清单；</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73"/>
        </w:tabs>
        <w:spacing w:line="332" w:lineRule="exact"/>
        <w:ind w:firstLine="560"/>
        <w:jc w:val="both"/>
      </w:pPr>
      <w:bookmarkStart w:id="39" w:name="bookmark189"/>
      <w:r>
        <w:t>（</w:t>
      </w:r>
      <w:bookmarkEnd w:id="39"/>
      <w:r>
        <w:t>六）</w:t>
      </w:r>
      <w:r>
        <w:tab/>
      </w:r>
      <w:r>
        <w:t>技术条款；</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73"/>
        </w:tabs>
        <w:spacing w:line="332" w:lineRule="exact"/>
        <w:ind w:firstLine="560"/>
        <w:jc w:val="both"/>
      </w:pPr>
      <w:bookmarkStart w:id="40" w:name="bookmark190"/>
      <w:r>
        <w:t>（</w:t>
      </w:r>
      <w:bookmarkEnd w:id="40"/>
      <w:r>
        <w:t>七）</w:t>
      </w:r>
      <w:r>
        <w:tab/>
      </w:r>
      <w:r>
        <w:t>设计图纸；</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73"/>
        </w:tabs>
        <w:spacing w:line="332" w:lineRule="exact"/>
        <w:ind w:firstLine="560"/>
        <w:jc w:val="both"/>
      </w:pPr>
      <w:bookmarkStart w:id="41" w:name="bookmark191"/>
      <w:r>
        <w:t>（</w:t>
      </w:r>
      <w:bookmarkEnd w:id="41"/>
      <w:r>
        <w:t>八）</w:t>
      </w:r>
      <w:r>
        <w:tab/>
      </w:r>
      <w:r>
        <w:t>评标标准和方法；</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73"/>
        </w:tabs>
        <w:spacing w:line="332" w:lineRule="exact"/>
        <w:ind w:firstLine="560"/>
        <w:jc w:val="both"/>
      </w:pPr>
      <w:bookmarkStart w:id="42" w:name="bookmark192"/>
      <w:r>
        <w:t>（</w:t>
      </w:r>
      <w:bookmarkEnd w:id="42"/>
      <w:r>
        <w:t>九）</w:t>
      </w:r>
      <w:r>
        <w:tab/>
      </w:r>
      <w:r>
        <w:t>投标辅助材料。</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招标人应当在招标文件中规定实质性要求和条件，并用醒目的方式标明。</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第二十五条招标人可以要求投标人在提交符合招标文件规定要求的投标文件</w:t>
      </w:r>
      <w:r>
        <w:t xml:space="preserve"> </w:t>
      </w:r>
      <w:r>
        <w:t>外，提交备选投标方案，但应当在招标文件中做出说明，并提出相应的评审和比较办</w:t>
      </w:r>
      <w:r>
        <w:t xml:space="preserve"> </w:t>
      </w:r>
      <w:r>
        <w:t>法。</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第二十六条招标文件规定的各项技术标准应符合国家强制性标准。</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招标文件中规定的各项技术标准均不得要求或标明某一特定的专利、商标、名</w:t>
      </w:r>
      <w:r>
        <w:t xml:space="preserve"> </w:t>
      </w:r>
      <w:r>
        <w:t>称、设计、原产地或生产供应者，不得含有倾向或者排斥潜在投标人的其他内容。如</w:t>
      </w:r>
      <w:r>
        <w:t xml:space="preserve"> </w:t>
      </w:r>
      <w:r>
        <w:t>果必须引用某一生产供应者的技术标准才能准确或清楚地说明拟招标项目的技术标准</w:t>
      </w:r>
      <w:r>
        <w:t xml:space="preserve"> </w:t>
      </w:r>
      <w:r>
        <w:t>时，则应当在参照后面加上</w:t>
      </w:r>
      <w:r>
        <w:rPr>
          <w:lang w:val="zh-CN" w:eastAsia="zh-CN" w:bidi="zh-CN"/>
        </w:rPr>
        <w:t>“</w:t>
      </w:r>
      <w:r>
        <w:rPr>
          <w:lang w:val="zh-CN" w:eastAsia="zh-CN" w:bidi="zh-CN"/>
        </w:rPr>
        <w:t>或相</w:t>
      </w:r>
      <w:r>
        <w:t>当于</w:t>
      </w:r>
      <w:r>
        <w:t>"</w:t>
      </w:r>
      <w:r>
        <w:t>的字样。</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第二十七条</w:t>
      </w:r>
      <w:r>
        <w:t xml:space="preserve"> </w:t>
      </w:r>
      <w:r>
        <w:t>施工招标项目需要划分标段、确定工期的，招标人应当合理划分标</w:t>
      </w:r>
      <w:r>
        <w:t xml:space="preserve"> </w:t>
      </w:r>
      <w:r>
        <w:t>段、确定工期，并在招标文件中载明。对工程技术上紧密相连、不可分割的单位工程</w:t>
      </w:r>
      <w:r>
        <w:t xml:space="preserve"> </w:t>
      </w:r>
      <w:r>
        <w:t>不得分割标段。</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招标人不得以不合理的标段或工期限制或者排斥潜在投标人或者投标人。依法必</w:t>
      </w:r>
      <w:r>
        <w:t xml:space="preserve"> </w:t>
      </w:r>
      <w:r>
        <w:t>须进行施工招标的项目的招标人不得利用划分标段规避招标。</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第二十八条招标文件应当明确规定的所有评标因素，以及如何将这些因素量化</w:t>
      </w:r>
      <w:r>
        <w:t xml:space="preserve"> </w:t>
      </w:r>
      <w:r>
        <w:t>或者据以进行评估。</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在评标过程中，不得改变招标文件中规定的评标标准、方法和中标条件。</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sectPr w:rsidR="00245ACD">
          <w:footerReference w:type="even" r:id="rId8"/>
          <w:footerReference w:type="default" r:id="rId9"/>
          <w:footerReference w:type="first" r:id="rId10"/>
          <w:pgSz w:w="9538" w:h="14741"/>
          <w:pgMar w:top="962" w:right="626" w:bottom="979" w:left="632" w:header="0" w:footer="3" w:gutter="0"/>
          <w:pgNumType w:start="51"/>
          <w:cols w:space="720"/>
          <w:titlePg/>
          <w:docGrid w:linePitch="360"/>
        </w:sectPr>
      </w:pPr>
      <w:r>
        <w:t>第二十九条招标文件应当规定一个适当的投标有效期，以保证招标人有足够的</w:t>
      </w:r>
      <w:r>
        <w:t xml:space="preserve"> </w:t>
      </w:r>
      <w:r>
        <w:t>时间完成评标和与中标人签订合同。投标有效期从投标人提交投标文件截止之日起计</w:t>
      </w:r>
      <w:r>
        <w:t xml:space="preserve"> </w:t>
      </w:r>
      <w:r>
        <w:t>算。</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lastRenderedPageBreak/>
        <w:t>在原投标有效期结束前，出现特殊情况的，招标人可以书面形式要求所有投标人</w:t>
      </w:r>
      <w:r>
        <w:t xml:space="preserve"> </w:t>
      </w:r>
      <w:r>
        <w:t>延长投标有效期。投标人同意延长的，不得要求或被允许修改其投标文件的实质性内</w:t>
      </w:r>
      <w:r>
        <w:t xml:space="preserve"> </w:t>
      </w:r>
      <w:r>
        <w:t>容，但应当相应延长其投标保证金的有效期；投标人拒绝延长的，其投标失效，但投</w:t>
      </w:r>
      <w:r>
        <w:t xml:space="preserve"> </w:t>
      </w:r>
      <w:r>
        <w:t>标人有权收回其投标保证金。因延长投标有效期造成投标人损失的，招标人应当给予</w:t>
      </w:r>
      <w:r>
        <w:t xml:space="preserve"> </w:t>
      </w:r>
      <w:r>
        <w:t>补偿，但因不可抗力需要延长投标有效期的除外。</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第三十条施工招标项目工期较长的，招标文件中可以规定工程造价指数体系、</w:t>
      </w:r>
      <w:r>
        <w:t xml:space="preserve"> </w:t>
      </w:r>
      <w:r>
        <w:t>价格调整因素和调整方法。</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第三十一条</w:t>
      </w:r>
      <w:r>
        <w:t xml:space="preserve"> </w:t>
      </w:r>
      <w:r>
        <w:t>招标人应当确定投标人编制投标文件所需要的合理时间；但是，依</w:t>
      </w:r>
      <w:r>
        <w:t xml:space="preserve"> </w:t>
      </w:r>
      <w:r>
        <w:t>法必须进行招标的项目，自招标文件开始发出之日起至投标人提交投标文件截止之日</w:t>
      </w:r>
      <w:r>
        <w:t xml:space="preserve"> </w:t>
      </w:r>
      <w:r>
        <w:t>止，最短不得少于</w:t>
      </w:r>
      <w:r>
        <w:lastRenderedPageBreak/>
        <w:t>二十日。</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第三十二条</w:t>
      </w:r>
      <w:r>
        <w:t xml:space="preserve"> </w:t>
      </w:r>
      <w:r>
        <w:t>招标人根据招标项目的具体情况，可以组织潜在投标人踏勘项目现</w:t>
      </w:r>
      <w:r>
        <w:t xml:space="preserve"> </w:t>
      </w:r>
      <w:r>
        <w:t>场，向其介绍工程场地和相关环境的有关情况。潜在投标人依据招标人介绍情况作出</w:t>
      </w:r>
      <w:r>
        <w:t xml:space="preserve"> </w:t>
      </w:r>
      <w:r>
        <w:t>的判断和决策，由投标人自行负责。</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招标人不得单独或者分别组织任何一个投标人进行现场踏勘。</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第三十三条对于潜在投标人在阅读招标文件和现场踏勘中提出的疑问，招标人</w:t>
      </w:r>
      <w:r>
        <w:t xml:space="preserve"> </w:t>
      </w:r>
      <w:r>
        <w:t>可以书面形式或召开投标预备会的方式解答，但需同时将解答以书面方式通知所有购</w:t>
      </w:r>
      <w:r>
        <w:t xml:space="preserve"> </w:t>
      </w:r>
      <w:r>
        <w:t>买招标文件的潜在投标人。该解答的内容为招标文件的组成部分。</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第三十四条</w:t>
      </w:r>
      <w:r>
        <w:t xml:space="preserve"> </w:t>
      </w:r>
      <w:r>
        <w:t>招标人可根据项目特点决定是否编制标底。编制标底的，标底编制</w:t>
      </w:r>
      <w:r>
        <w:t xml:space="preserve"> </w:t>
      </w:r>
      <w:r>
        <w:t>过程和标底在开标前必须保密。</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招标项目编制标底的，应根据批准的初步设计、投资概算，依据有关计价办法，</w:t>
      </w:r>
      <w:r>
        <w:t xml:space="preserve"> </w:t>
      </w:r>
      <w:r>
        <w:t>参照有关工程定额，结合市场供求状况，综合考虑投资、工期和质量等方面的因素合</w:t>
      </w:r>
      <w:r>
        <w:t xml:space="preserve"> </w:t>
      </w:r>
      <w:r>
        <w:t>理确定。</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标底由招标人自行编制或委托中介机构编制。一个工程只能编制一个标底。</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任何单位和个人不得强制招标人编制或报审标底，或干预其确定标底。</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招标项目可以不设标底，进行无标底招标。</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招标人设有最高投标限价的，应当在招标文件中明确最高投标限价或者最高投标</w:t>
      </w:r>
      <w:r>
        <w:t xml:space="preserve"> </w:t>
      </w:r>
      <w:r>
        <w:t>限价的计算方法。招标人不得规定最低投标限价</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0"/>
        <w:jc w:val="center"/>
      </w:pPr>
      <w:r>
        <w:t>第三章投标</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第三十五条</w:t>
      </w:r>
      <w:r>
        <w:t xml:space="preserve"> </w:t>
      </w:r>
      <w:r>
        <w:t>投标人是响应招标、参加投标竞争的法人或者其他组织。招标人的</w:t>
      </w:r>
      <w:r>
        <w:t xml:space="preserve"> </w:t>
      </w:r>
      <w:r>
        <w:t>任何不具独立法人资格的附属机构（单位），或者为招标项目的前期准备或者监理工</w:t>
      </w:r>
      <w:r>
        <w:t xml:space="preserve"> </w:t>
      </w:r>
      <w:r>
        <w:t>作提供设计、咨询服务的任何法人及其任何附属机构（单位），都无资格参加该招标</w:t>
      </w:r>
      <w:r>
        <w:t xml:space="preserve"> </w:t>
      </w:r>
      <w:r>
        <w:t>项目的投标。</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第三十六条投标人应当按照招标文件的要求编制投标文件。投标文件应当对招</w:t>
      </w:r>
      <w:r>
        <w:t xml:space="preserve"> </w:t>
      </w:r>
      <w:r>
        <w:t>标文件提出的实质性要求和条件作出响应。</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投标文件一般包括下列内容：</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73"/>
        </w:tabs>
        <w:spacing w:line="332" w:lineRule="exact"/>
        <w:ind w:firstLine="560"/>
        <w:jc w:val="both"/>
      </w:pPr>
      <w:bookmarkStart w:id="43" w:name="bookmark193"/>
      <w:r>
        <w:t>（</w:t>
      </w:r>
      <w:bookmarkEnd w:id="43"/>
      <w:r>
        <w:t>一）</w:t>
      </w:r>
      <w:r>
        <w:tab/>
      </w:r>
      <w:r>
        <w:t>投标函；</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73"/>
        </w:tabs>
        <w:spacing w:line="332" w:lineRule="exact"/>
        <w:ind w:firstLine="560"/>
        <w:jc w:val="both"/>
      </w:pPr>
      <w:bookmarkStart w:id="44" w:name="bookmark194"/>
      <w:r>
        <w:t>（</w:t>
      </w:r>
      <w:bookmarkEnd w:id="44"/>
      <w:r>
        <w:t>二）</w:t>
      </w:r>
      <w:r>
        <w:tab/>
      </w:r>
      <w:r>
        <w:t>投标报价；</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73"/>
        </w:tabs>
        <w:spacing w:line="332" w:lineRule="exact"/>
        <w:ind w:firstLine="560"/>
        <w:jc w:val="both"/>
      </w:pPr>
      <w:bookmarkStart w:id="45" w:name="bookmark195"/>
      <w:r>
        <w:t>（</w:t>
      </w:r>
      <w:bookmarkEnd w:id="45"/>
      <w:r>
        <w:t>三）</w:t>
      </w:r>
      <w:r>
        <w:tab/>
      </w:r>
      <w:r>
        <w:t>施工组织设计；</w:t>
      </w:r>
    </w:p>
    <w:p w:rsidR="00245ACD" w:rsidRDefault="00266C09">
      <w:pPr>
        <w:pStyle w:val="Bodytext1"/>
        <w:pBdr>
          <w:top w:val="single" w:sz="4" w:space="0" w:color="auto"/>
          <w:left w:val="single" w:sz="4" w:space="0" w:color="auto"/>
          <w:bottom w:val="single" w:sz="4" w:space="0" w:color="auto"/>
          <w:right w:val="single" w:sz="4" w:space="0" w:color="auto"/>
        </w:pBdr>
        <w:spacing w:line="333" w:lineRule="exact"/>
        <w:ind w:firstLine="540"/>
        <w:jc w:val="both"/>
      </w:pPr>
      <w:bookmarkStart w:id="46" w:name="bookmark196"/>
      <w:r>
        <w:t>（</w:t>
      </w:r>
      <w:bookmarkEnd w:id="46"/>
      <w:r>
        <w:t>四）商务和技术偏差表。</w:t>
      </w:r>
    </w:p>
    <w:p w:rsidR="00245ACD" w:rsidRDefault="00266C09">
      <w:pPr>
        <w:pStyle w:val="Bodytext1"/>
        <w:pBdr>
          <w:top w:val="single" w:sz="4" w:space="0" w:color="auto"/>
          <w:left w:val="single" w:sz="4" w:space="0" w:color="auto"/>
          <w:bottom w:val="single" w:sz="4" w:space="0" w:color="auto"/>
          <w:right w:val="single" w:sz="4" w:space="0" w:color="auto"/>
        </w:pBdr>
        <w:spacing w:line="333" w:lineRule="exact"/>
        <w:ind w:firstLine="440"/>
        <w:jc w:val="both"/>
      </w:pPr>
      <w:r>
        <w:t>投标人根据招标文件载明的项目实际情况，拟在中标后将中标项目的部分非主</w:t>
      </w:r>
      <w:r>
        <w:t xml:space="preserve"> </w:t>
      </w:r>
      <w:r>
        <w:t>体、非关键性工作进行分包的，应当在投标文件中载明。</w:t>
      </w:r>
    </w:p>
    <w:p w:rsidR="00245ACD" w:rsidRDefault="00266C09">
      <w:pPr>
        <w:pStyle w:val="Bodytext1"/>
        <w:pBdr>
          <w:top w:val="single" w:sz="4" w:space="0" w:color="auto"/>
          <w:left w:val="single" w:sz="4" w:space="0" w:color="auto"/>
          <w:bottom w:val="single" w:sz="4" w:space="0" w:color="auto"/>
          <w:right w:val="single" w:sz="4" w:space="0" w:color="auto"/>
        </w:pBdr>
        <w:spacing w:line="333" w:lineRule="exact"/>
        <w:ind w:firstLine="440"/>
        <w:jc w:val="both"/>
      </w:pPr>
      <w:r>
        <w:t>第三十七条招标人可以在招标文件中要求投标人提交投标保证金。投标保证金</w:t>
      </w:r>
      <w:r>
        <w:t xml:space="preserve"> </w:t>
      </w:r>
      <w:r>
        <w:t>除现金外，可以是银行出具的银行保函、保兑支票、银行汇票或现金支票。</w:t>
      </w:r>
    </w:p>
    <w:p w:rsidR="00245ACD" w:rsidRDefault="00266C09">
      <w:pPr>
        <w:pStyle w:val="Bodytext1"/>
        <w:pBdr>
          <w:top w:val="single" w:sz="4" w:space="0" w:color="auto"/>
          <w:left w:val="single" w:sz="4" w:space="0" w:color="auto"/>
          <w:bottom w:val="single" w:sz="4" w:space="0" w:color="auto"/>
          <w:right w:val="single" w:sz="4" w:space="0" w:color="auto"/>
        </w:pBdr>
        <w:spacing w:line="333" w:lineRule="exact"/>
        <w:ind w:firstLine="440"/>
        <w:jc w:val="both"/>
      </w:pPr>
      <w:r>
        <w:t>投标保证金不得超过项目估算价的百分之二，但最高不得超过八十万元人民币。</w:t>
      </w:r>
      <w:r>
        <w:t xml:space="preserve"> </w:t>
      </w:r>
      <w:r>
        <w:t>投标保证金有效期应当与投标有效期一致。</w:t>
      </w:r>
    </w:p>
    <w:p w:rsidR="00245ACD" w:rsidRDefault="00266C09">
      <w:pPr>
        <w:pStyle w:val="Bodytext1"/>
        <w:pBdr>
          <w:top w:val="single" w:sz="4" w:space="0" w:color="auto"/>
          <w:left w:val="single" w:sz="4" w:space="0" w:color="auto"/>
          <w:bottom w:val="single" w:sz="4" w:space="0" w:color="auto"/>
          <w:right w:val="single" w:sz="4" w:space="0" w:color="auto"/>
        </w:pBdr>
        <w:spacing w:line="333" w:lineRule="exact"/>
        <w:ind w:firstLine="440"/>
        <w:jc w:val="both"/>
      </w:pPr>
      <w:r>
        <w:t>投标人应当按照招标文件要求的方式和金额，将投标保证金随投标文件提交给招</w:t>
      </w:r>
      <w:r>
        <w:t xml:space="preserve"> </w:t>
      </w:r>
      <w:r>
        <w:t>标人或其委托的招标代理机构。</w:t>
      </w:r>
    </w:p>
    <w:p w:rsidR="00245ACD" w:rsidRDefault="00266C09">
      <w:pPr>
        <w:pStyle w:val="Bodytext1"/>
        <w:pBdr>
          <w:top w:val="single" w:sz="4" w:space="0" w:color="auto"/>
          <w:left w:val="single" w:sz="4" w:space="0" w:color="auto"/>
          <w:bottom w:val="single" w:sz="4" w:space="0" w:color="auto"/>
          <w:right w:val="single" w:sz="4" w:space="0" w:color="auto"/>
        </w:pBdr>
        <w:spacing w:line="333" w:lineRule="exact"/>
        <w:ind w:firstLine="540"/>
        <w:jc w:val="both"/>
      </w:pPr>
      <w:r>
        <w:rPr>
          <w:lang w:val="zh-CN" w:eastAsia="zh-CN" w:bidi="zh-CN"/>
        </w:rPr>
        <w:t>“</w:t>
      </w:r>
      <w:r>
        <w:rPr>
          <w:lang w:val="zh-CN" w:eastAsia="zh-CN" w:bidi="zh-CN"/>
        </w:rPr>
        <w:t>依</w:t>
      </w:r>
      <w:r>
        <w:t>法必须进行施工招标的项目的境内投标单位，以现金或者支票形式提交的投</w:t>
      </w:r>
      <w:r>
        <w:t xml:space="preserve"> </w:t>
      </w:r>
      <w:r>
        <w:t>标保证金应当从其基本账户转出。</w:t>
      </w:r>
    </w:p>
    <w:p w:rsidR="00245ACD" w:rsidRDefault="00266C09">
      <w:pPr>
        <w:pStyle w:val="Bodytext1"/>
        <w:pBdr>
          <w:top w:val="single" w:sz="4" w:space="0" w:color="auto"/>
          <w:left w:val="single" w:sz="4" w:space="0" w:color="auto"/>
          <w:bottom w:val="single" w:sz="4" w:space="0" w:color="auto"/>
          <w:right w:val="single" w:sz="4" w:space="0" w:color="auto"/>
        </w:pBdr>
        <w:spacing w:line="333" w:lineRule="exact"/>
        <w:ind w:firstLine="440"/>
        <w:jc w:val="both"/>
      </w:pPr>
      <w:r>
        <w:lastRenderedPageBreak/>
        <w:t>第三十八条投标人应当在招标文件要求提交投标文件的截止时间前，将投标文</w:t>
      </w:r>
      <w:r>
        <w:t xml:space="preserve"> </w:t>
      </w:r>
      <w:r>
        <w:t>件密封送达投标地点。招标人收到投标文件后，应当向投标人出具标明签收人和签收</w:t>
      </w:r>
      <w:r>
        <w:t xml:space="preserve"> </w:t>
      </w:r>
      <w:r>
        <w:t>时间的凭证，在开标前任何单位和个人不得开启投标文件。</w:t>
      </w:r>
    </w:p>
    <w:p w:rsidR="00245ACD" w:rsidRDefault="00266C09">
      <w:pPr>
        <w:pStyle w:val="Bodytext1"/>
        <w:pBdr>
          <w:top w:val="single" w:sz="4" w:space="0" w:color="auto"/>
          <w:left w:val="single" w:sz="4" w:space="0" w:color="auto"/>
          <w:bottom w:val="single" w:sz="4" w:space="0" w:color="auto"/>
          <w:right w:val="single" w:sz="4" w:space="0" w:color="auto"/>
        </w:pBdr>
        <w:spacing w:line="333" w:lineRule="exact"/>
        <w:ind w:firstLine="440"/>
        <w:jc w:val="both"/>
      </w:pPr>
      <w:r>
        <w:t>在招标文件要求提交投标文件的截止时间后送达的投标文件，招标人应当拒收。</w:t>
      </w:r>
    </w:p>
    <w:p w:rsidR="00245ACD" w:rsidRDefault="00266C09">
      <w:pPr>
        <w:pStyle w:val="Bodytext1"/>
        <w:pBdr>
          <w:top w:val="single" w:sz="4" w:space="0" w:color="auto"/>
          <w:left w:val="single" w:sz="4" w:space="0" w:color="auto"/>
          <w:bottom w:val="single" w:sz="4" w:space="0" w:color="auto"/>
          <w:right w:val="single" w:sz="4" w:space="0" w:color="auto"/>
        </w:pBdr>
        <w:spacing w:line="333" w:lineRule="exact"/>
        <w:ind w:firstLine="440"/>
        <w:jc w:val="both"/>
      </w:pPr>
      <w:r>
        <w:t>依法必须进行施工招标的项目提交投标</w:t>
      </w:r>
      <w:r>
        <w:t>文件的投标人人少于三个的，招标人在分</w:t>
      </w:r>
      <w:r>
        <w:t xml:space="preserve"> </w:t>
      </w:r>
      <w:r>
        <w:t>析招标失败的原因并釆取相应措施后，应当依法重新招标。重新招标后投标人仍少于</w:t>
      </w:r>
      <w:r>
        <w:t xml:space="preserve"> </w:t>
      </w:r>
      <w:r>
        <w:t>三个的，属于必须审批、核准的工程建设项目，报经原审批、核准部门审批、核准后</w:t>
      </w:r>
      <w:r>
        <w:t xml:space="preserve"> </w:t>
      </w:r>
      <w:r>
        <w:t>可以不再进行招标；其他工程建设项目，招标人可自行决定不再进行招标。</w:t>
      </w:r>
    </w:p>
    <w:p w:rsidR="00245ACD" w:rsidRDefault="00266C09">
      <w:pPr>
        <w:pStyle w:val="Bodytext1"/>
        <w:pBdr>
          <w:top w:val="single" w:sz="4" w:space="0" w:color="auto"/>
          <w:left w:val="single" w:sz="4" w:space="0" w:color="auto"/>
          <w:bottom w:val="single" w:sz="4" w:space="0" w:color="auto"/>
          <w:right w:val="single" w:sz="4" w:space="0" w:color="auto"/>
        </w:pBdr>
        <w:spacing w:line="333" w:lineRule="exact"/>
        <w:ind w:firstLine="440"/>
        <w:jc w:val="both"/>
      </w:pPr>
      <w:r>
        <w:t>第三十九条投标人在招标文件要求提交投标文件的截止时间前，可以补充、修</w:t>
      </w:r>
      <w:r>
        <w:t xml:space="preserve"> </w:t>
      </w:r>
      <w:r>
        <w:t>改、替代或者撤回已提交的投标文件，并书面通知招标人。补充、修改的内容为投标</w:t>
      </w:r>
      <w:r>
        <w:t xml:space="preserve"> </w:t>
      </w:r>
      <w:r>
        <w:t>文件的组成部分。</w:t>
      </w:r>
    </w:p>
    <w:p w:rsidR="00245ACD" w:rsidRDefault="00266C09">
      <w:pPr>
        <w:pStyle w:val="Bodytext1"/>
        <w:pBdr>
          <w:top w:val="single" w:sz="4" w:space="0" w:color="auto"/>
          <w:left w:val="single" w:sz="4" w:space="0" w:color="auto"/>
          <w:bottom w:val="single" w:sz="4" w:space="0" w:color="auto"/>
          <w:right w:val="single" w:sz="4" w:space="0" w:color="auto"/>
        </w:pBdr>
        <w:spacing w:line="333" w:lineRule="exact"/>
        <w:ind w:firstLine="440"/>
        <w:jc w:val="both"/>
      </w:pPr>
      <w:r>
        <w:t>第四十条在提交投标文件截止时间后到招标文件规定的投标有效期终止之前，</w:t>
      </w:r>
      <w:r>
        <w:t xml:space="preserve"> </w:t>
      </w:r>
      <w:r>
        <w:t>投标人不得撤销其投标</w:t>
      </w:r>
      <w:r>
        <w:t>文件，否则招标人可以不退还其投标保证金。</w:t>
      </w:r>
    </w:p>
    <w:p w:rsidR="00245ACD" w:rsidRDefault="00266C09">
      <w:pPr>
        <w:pStyle w:val="Bodytext1"/>
        <w:pBdr>
          <w:top w:val="single" w:sz="4" w:space="0" w:color="auto"/>
          <w:left w:val="single" w:sz="4" w:space="0" w:color="auto"/>
          <w:bottom w:val="single" w:sz="4" w:space="0" w:color="auto"/>
          <w:right w:val="single" w:sz="4" w:space="0" w:color="auto"/>
        </w:pBdr>
        <w:spacing w:line="333" w:lineRule="exact"/>
        <w:ind w:firstLine="440"/>
        <w:jc w:val="both"/>
      </w:pPr>
      <w:r>
        <w:t>第四十一条</w:t>
      </w:r>
      <w:r>
        <w:t xml:space="preserve"> </w:t>
      </w:r>
      <w:r>
        <w:t>在开标前，招标人应妥善保管好已接收的投标文件、修改或撤回通</w:t>
      </w:r>
      <w:r>
        <w:t xml:space="preserve"> </w:t>
      </w:r>
      <w:r>
        <w:t>知、备选投标方案等投标资料。</w:t>
      </w:r>
    </w:p>
    <w:p w:rsidR="00245ACD" w:rsidRDefault="00266C09">
      <w:pPr>
        <w:pStyle w:val="Bodytext1"/>
        <w:pBdr>
          <w:top w:val="single" w:sz="4" w:space="0" w:color="auto"/>
          <w:left w:val="single" w:sz="4" w:space="0" w:color="auto"/>
          <w:bottom w:val="single" w:sz="4" w:space="0" w:color="auto"/>
          <w:right w:val="single" w:sz="4" w:space="0" w:color="auto"/>
        </w:pBdr>
        <w:spacing w:line="333" w:lineRule="exact"/>
        <w:ind w:firstLine="440"/>
        <w:jc w:val="both"/>
      </w:pPr>
      <w:r>
        <w:t>第四十二条两个以上法人或者其他组织可以组成一个联合体，以一个投标人的</w:t>
      </w:r>
      <w:r>
        <w:t xml:space="preserve"> </w:t>
      </w:r>
      <w:r>
        <w:t>身份共同投标。</w:t>
      </w:r>
    </w:p>
    <w:p w:rsidR="00245ACD" w:rsidRDefault="00266C09">
      <w:pPr>
        <w:pStyle w:val="Bodytext1"/>
        <w:pBdr>
          <w:top w:val="single" w:sz="4" w:space="0" w:color="auto"/>
          <w:left w:val="single" w:sz="4" w:space="0" w:color="auto"/>
          <w:bottom w:val="single" w:sz="4" w:space="0" w:color="auto"/>
          <w:right w:val="single" w:sz="4" w:space="0" w:color="auto"/>
        </w:pBdr>
        <w:spacing w:line="333" w:lineRule="exact"/>
        <w:ind w:firstLine="440"/>
        <w:jc w:val="both"/>
      </w:pPr>
      <w:r>
        <w:t>联合体各方签订共同投标协议后，不得再以自己名义单独投标，也不得组成新的</w:t>
      </w:r>
      <w:r>
        <w:t xml:space="preserve"> </w:t>
      </w:r>
      <w:r>
        <w:t>联合体或参加其他联合体在同一项目中投标。</w:t>
      </w:r>
    </w:p>
    <w:p w:rsidR="00245ACD" w:rsidRDefault="00266C09">
      <w:pPr>
        <w:pStyle w:val="Bodytext1"/>
        <w:pBdr>
          <w:top w:val="single" w:sz="4" w:space="0" w:color="auto"/>
          <w:left w:val="single" w:sz="4" w:space="0" w:color="auto"/>
          <w:bottom w:val="single" w:sz="4" w:space="0" w:color="auto"/>
          <w:right w:val="single" w:sz="4" w:space="0" w:color="auto"/>
        </w:pBdr>
        <w:spacing w:line="333" w:lineRule="exact"/>
        <w:ind w:firstLine="440"/>
        <w:jc w:val="both"/>
      </w:pPr>
      <w:r>
        <w:t>第四十三条招标人接受联合体投标并进行资格预审的，联合体应当在提交资格</w:t>
      </w:r>
      <w:r>
        <w:t xml:space="preserve"> </w:t>
      </w:r>
      <w:r>
        <w:t>预审申请文件前组成。资格预审后联合体增减、更换成员的，其投标无效。</w:t>
      </w:r>
    </w:p>
    <w:p w:rsidR="00245ACD" w:rsidRDefault="00266C09">
      <w:pPr>
        <w:pStyle w:val="Bodytext1"/>
        <w:pBdr>
          <w:top w:val="single" w:sz="4" w:space="0" w:color="auto"/>
          <w:left w:val="single" w:sz="4" w:space="0" w:color="auto"/>
          <w:bottom w:val="single" w:sz="4" w:space="0" w:color="auto"/>
          <w:right w:val="single" w:sz="4" w:space="0" w:color="auto"/>
        </w:pBdr>
        <w:spacing w:line="333" w:lineRule="exact"/>
        <w:ind w:firstLine="440"/>
        <w:jc w:val="both"/>
      </w:pPr>
      <w:r>
        <w:t>第四十四条联合体各方应当指定牵</w:t>
      </w:r>
      <w:r>
        <w:t>头人，授权其代表所有联合体成员负责投标</w:t>
      </w:r>
      <w:r>
        <w:t xml:space="preserve"> </w:t>
      </w:r>
      <w:r>
        <w:t>和合同实施阶段的主办、协调工作，并应当向招标人提交由所有联合体成员法定代表</w:t>
      </w:r>
      <w:r>
        <w:t xml:space="preserve"> </w:t>
      </w:r>
      <w:r>
        <w:t>人签署的授权书。</w:t>
      </w:r>
    </w:p>
    <w:p w:rsidR="00245ACD" w:rsidRDefault="00266C09">
      <w:pPr>
        <w:pStyle w:val="Bodytext1"/>
        <w:pBdr>
          <w:top w:val="single" w:sz="4" w:space="0" w:color="auto"/>
          <w:left w:val="single" w:sz="4" w:space="0" w:color="auto"/>
          <w:bottom w:val="single" w:sz="4" w:space="0" w:color="auto"/>
          <w:right w:val="single" w:sz="4" w:space="0" w:color="auto"/>
        </w:pBdr>
        <w:spacing w:line="333" w:lineRule="exact"/>
        <w:ind w:firstLine="440"/>
        <w:jc w:val="both"/>
      </w:pPr>
      <w:r>
        <w:t>第四十五条联合体投标的，应当以联合体各方或者联合体中牵头人的名义提交</w:t>
      </w:r>
      <w:r>
        <w:t xml:space="preserve"> </w:t>
      </w:r>
      <w:r>
        <w:t>投标保证金。以联合体中牵头人名义提交的投标保证金，对联合体各成员具有约束</w:t>
      </w:r>
      <w:r>
        <w:t xml:space="preserve"> </w:t>
      </w:r>
      <w:r>
        <w:t>力。</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第四十六条下列行为均属投标人串通投标报价：</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73"/>
        </w:tabs>
        <w:spacing w:line="332" w:lineRule="exact"/>
        <w:ind w:firstLine="560"/>
        <w:jc w:val="both"/>
      </w:pPr>
      <w:bookmarkStart w:id="47" w:name="bookmark197"/>
      <w:r>
        <w:t>（</w:t>
      </w:r>
      <w:bookmarkEnd w:id="47"/>
      <w:r>
        <w:t>一）</w:t>
      </w:r>
      <w:r>
        <w:tab/>
      </w:r>
      <w:r>
        <w:t>投标人之间相互约定抬高或压低投标报价；</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73"/>
        </w:tabs>
        <w:spacing w:line="332" w:lineRule="exact"/>
        <w:ind w:firstLine="560"/>
        <w:jc w:val="both"/>
      </w:pPr>
      <w:bookmarkStart w:id="48" w:name="bookmark198"/>
      <w:r>
        <w:t>（</w:t>
      </w:r>
      <w:bookmarkEnd w:id="48"/>
      <w:r>
        <w:t>二）</w:t>
      </w:r>
      <w:r>
        <w:tab/>
      </w:r>
      <w:r>
        <w:t>投标人之间相互约定，在招标项目中分别以高、中、低价位报价；</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73"/>
        </w:tabs>
        <w:spacing w:line="332" w:lineRule="exact"/>
        <w:ind w:firstLine="560"/>
        <w:jc w:val="both"/>
      </w:pPr>
      <w:bookmarkStart w:id="49" w:name="bookmark199"/>
      <w:r>
        <w:t>（</w:t>
      </w:r>
      <w:bookmarkEnd w:id="49"/>
      <w:r>
        <w:t>三）</w:t>
      </w:r>
      <w:r>
        <w:tab/>
      </w:r>
      <w:r>
        <w:t>投标人之间先进行内部竞价，内定中标人，然后再参加投标；</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73"/>
        </w:tabs>
        <w:spacing w:line="332" w:lineRule="exact"/>
        <w:ind w:firstLine="560"/>
        <w:jc w:val="both"/>
      </w:pPr>
      <w:bookmarkStart w:id="50" w:name="bookmark200"/>
      <w:r>
        <w:t>（</w:t>
      </w:r>
      <w:bookmarkEnd w:id="50"/>
      <w:r>
        <w:t>四）</w:t>
      </w:r>
      <w:r>
        <w:tab/>
      </w:r>
      <w:r>
        <w:t>投标人之间其他串通投标报价的行为。</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第四十七条下列行为均属招标人与投标人串通投标：</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74"/>
        </w:tabs>
        <w:spacing w:line="332" w:lineRule="exact"/>
        <w:ind w:firstLine="560"/>
        <w:jc w:val="both"/>
      </w:pPr>
      <w:bookmarkStart w:id="51" w:name="bookmark201"/>
      <w:r>
        <w:t>（</w:t>
      </w:r>
      <w:bookmarkEnd w:id="51"/>
      <w:r>
        <w:t>一）</w:t>
      </w:r>
      <w:r>
        <w:tab/>
      </w:r>
      <w:r>
        <w:t>招标人在开标前开启投标文件并将有关信息泄露给其他投标人，或者授意</w:t>
      </w:r>
      <w:r>
        <w:t xml:space="preserve"> </w:t>
      </w:r>
      <w:r>
        <w:t>投标人撤换、修改投标文件；</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78"/>
        </w:tabs>
        <w:spacing w:line="332" w:lineRule="exact"/>
        <w:ind w:firstLine="560"/>
        <w:jc w:val="both"/>
      </w:pPr>
      <w:bookmarkStart w:id="52" w:name="bookmark202"/>
      <w:r>
        <w:t>（</w:t>
      </w:r>
      <w:bookmarkEnd w:id="52"/>
      <w:r>
        <w:t>二）</w:t>
      </w:r>
      <w:r>
        <w:tab/>
      </w:r>
      <w:r>
        <w:t>招标人向投标人泄露标底、评标委员会成员等信息；</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78"/>
        </w:tabs>
        <w:spacing w:line="332" w:lineRule="exact"/>
        <w:ind w:firstLine="560"/>
        <w:jc w:val="both"/>
      </w:pPr>
      <w:bookmarkStart w:id="53" w:name="bookmark203"/>
      <w:r>
        <w:t>（</w:t>
      </w:r>
      <w:bookmarkEnd w:id="53"/>
      <w:r>
        <w:t>三）</w:t>
      </w:r>
      <w:r>
        <w:tab/>
      </w:r>
      <w:r>
        <w:t>招标人明示或者暗示投标人压低或抬高投标报价；</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78"/>
        </w:tabs>
        <w:spacing w:line="332" w:lineRule="exact"/>
        <w:ind w:firstLine="560"/>
        <w:jc w:val="both"/>
      </w:pPr>
      <w:bookmarkStart w:id="54" w:name="bookmark204"/>
      <w:r>
        <w:t>（</w:t>
      </w:r>
      <w:bookmarkEnd w:id="54"/>
      <w:r>
        <w:t>四）</w:t>
      </w:r>
      <w:r>
        <w:tab/>
      </w:r>
      <w:r>
        <w:t>招标人明示或者暗示投标人为特定投标人中标提供方便；</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78"/>
        </w:tabs>
        <w:spacing w:line="332" w:lineRule="exact"/>
        <w:ind w:firstLine="560"/>
        <w:jc w:val="both"/>
      </w:pPr>
      <w:bookmarkStart w:id="55" w:name="bookmark205"/>
      <w:r>
        <w:t>（</w:t>
      </w:r>
      <w:bookmarkEnd w:id="55"/>
      <w:r>
        <w:t>五）</w:t>
      </w:r>
      <w:r>
        <w:tab/>
      </w:r>
      <w:r>
        <w:t>招标人与投标人为谋求特定中标人中标而釆取的其他串通行为。</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第四十八条投标人不得以他人名义投标。</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前款所称以他人名义投标，指投标人挂靠其他施工单位，或从其他单位通过受让</w:t>
      </w:r>
      <w:r>
        <w:t xml:space="preserve"> </w:t>
      </w:r>
      <w:r>
        <w:t>或租借的</w:t>
      </w:r>
      <w:r>
        <w:lastRenderedPageBreak/>
        <w:t>方式获取资格或资质证书，或者由其他单位及其法定代表人在自己编制的投</w:t>
      </w:r>
      <w:r>
        <w:t xml:space="preserve"> </w:t>
      </w:r>
      <w:r>
        <w:t>标文件上加盖印章和签字等行为。</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0"/>
        <w:jc w:val="center"/>
      </w:pPr>
      <w:r>
        <w:t>第四章开标</w:t>
      </w:r>
      <w:r>
        <w:t>'</w:t>
      </w:r>
      <w:r>
        <w:t>评标和定标</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第四十九条开标应当在招标文件确定的提交投标文件截止时间的同一时间公开</w:t>
      </w:r>
      <w:r>
        <w:t xml:space="preserve"> </w:t>
      </w:r>
      <w:r>
        <w:t>进行；开标地点应当为招标文件中确定的地点。</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投标人对开标有异议的，应当在开标现场提出，招标人应当当场作出答复，并制</w:t>
      </w:r>
      <w:r>
        <w:t xml:space="preserve"> </w:t>
      </w:r>
      <w:r>
        <w:t>作记录。</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第五十条投标文件有下列情形之一的，招标人应当拒收：</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73"/>
        </w:tabs>
        <w:spacing w:line="332" w:lineRule="exact"/>
        <w:ind w:firstLine="560"/>
        <w:jc w:val="both"/>
      </w:pPr>
      <w:bookmarkStart w:id="56" w:name="bookmark206"/>
      <w:r>
        <w:t>（</w:t>
      </w:r>
      <w:bookmarkEnd w:id="56"/>
      <w:r>
        <w:t>一）</w:t>
      </w:r>
      <w:r>
        <w:tab/>
      </w:r>
      <w:r>
        <w:t>逾期送达；</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73"/>
        </w:tabs>
        <w:spacing w:line="332" w:lineRule="exact"/>
        <w:ind w:firstLine="560"/>
        <w:jc w:val="both"/>
      </w:pPr>
      <w:bookmarkStart w:id="57" w:name="bookmark207"/>
      <w:r>
        <w:t>（</w:t>
      </w:r>
      <w:bookmarkEnd w:id="57"/>
      <w:r>
        <w:t>二）</w:t>
      </w:r>
      <w:r>
        <w:tab/>
      </w:r>
      <w:r>
        <w:t>未按招标文件要求密封。</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有下列情形之一的，评标委员会应当否决其投标：</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73"/>
        </w:tabs>
        <w:spacing w:line="332" w:lineRule="exact"/>
        <w:ind w:firstLine="560"/>
        <w:jc w:val="both"/>
      </w:pPr>
      <w:bookmarkStart w:id="58" w:name="bookmark208"/>
      <w:r>
        <w:t>（</w:t>
      </w:r>
      <w:bookmarkEnd w:id="58"/>
      <w:r>
        <w:t>一）</w:t>
      </w:r>
      <w:r>
        <w:tab/>
      </w:r>
      <w:r>
        <w:t>投标文件未经投标单位盖章和单位负责人签字；</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73"/>
        </w:tabs>
        <w:spacing w:line="332" w:lineRule="exact"/>
        <w:ind w:firstLine="560"/>
        <w:jc w:val="both"/>
      </w:pPr>
      <w:bookmarkStart w:id="59" w:name="bookmark209"/>
      <w:r>
        <w:t>（</w:t>
      </w:r>
      <w:bookmarkEnd w:id="59"/>
      <w:r>
        <w:t>二）</w:t>
      </w:r>
      <w:r>
        <w:tab/>
      </w:r>
      <w:r>
        <w:t>投标联合体没有提交共同投标协议；</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73"/>
        </w:tabs>
        <w:spacing w:line="332" w:lineRule="exact"/>
        <w:ind w:firstLine="560"/>
        <w:jc w:val="both"/>
      </w:pPr>
      <w:bookmarkStart w:id="60" w:name="bookmark210"/>
      <w:r>
        <w:t>（</w:t>
      </w:r>
      <w:bookmarkEnd w:id="60"/>
      <w:r>
        <w:t>三）</w:t>
      </w:r>
      <w:r>
        <w:tab/>
      </w:r>
      <w:r>
        <w:t>投标人不符合国家或者招标文件规定的资格条件；</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74"/>
        </w:tabs>
        <w:spacing w:line="332" w:lineRule="exact"/>
        <w:ind w:firstLine="560"/>
        <w:jc w:val="both"/>
      </w:pPr>
      <w:bookmarkStart w:id="61" w:name="bookmark211"/>
      <w:r>
        <w:t>（</w:t>
      </w:r>
      <w:bookmarkEnd w:id="61"/>
      <w:r>
        <w:t>四）</w:t>
      </w:r>
      <w:r>
        <w:tab/>
      </w:r>
      <w:r>
        <w:t>同一投标人提交两个以上不同的投标文件或者投标报价，但招标文件要求</w:t>
      </w:r>
      <w:r>
        <w:t xml:space="preserve"> </w:t>
      </w:r>
      <w:r>
        <w:t>提交备选投标的除外；</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78"/>
        </w:tabs>
        <w:spacing w:line="332" w:lineRule="exact"/>
        <w:ind w:firstLine="560"/>
        <w:jc w:val="both"/>
      </w:pPr>
      <w:bookmarkStart w:id="62" w:name="bookmark212"/>
      <w:r>
        <w:t>（</w:t>
      </w:r>
      <w:bookmarkEnd w:id="62"/>
      <w:r>
        <w:t>五）</w:t>
      </w:r>
      <w:r>
        <w:tab/>
      </w:r>
      <w:r>
        <w:t>投标报价低于成本或者高于招标文件设定的最高投标限价；</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78"/>
        </w:tabs>
        <w:spacing w:line="332" w:lineRule="exact"/>
        <w:ind w:firstLine="560"/>
        <w:jc w:val="both"/>
      </w:pPr>
      <w:bookmarkStart w:id="63" w:name="bookmark213"/>
      <w:r>
        <w:t>（</w:t>
      </w:r>
      <w:bookmarkEnd w:id="63"/>
      <w:r>
        <w:t>六）</w:t>
      </w:r>
      <w:r>
        <w:tab/>
      </w:r>
      <w:r>
        <w:t>投标文件没有对招标文件的实质性要求和条件作出响应；</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78"/>
        </w:tabs>
        <w:spacing w:line="332" w:lineRule="exact"/>
        <w:ind w:firstLine="560"/>
        <w:jc w:val="both"/>
      </w:pPr>
      <w:bookmarkStart w:id="64" w:name="bookmark214"/>
      <w:r>
        <w:t>（</w:t>
      </w:r>
      <w:bookmarkEnd w:id="64"/>
      <w:r>
        <w:t>七）</w:t>
      </w:r>
      <w:r>
        <w:tab/>
      </w:r>
      <w:r>
        <w:t>投标人有串通投标、弄虚作假、行贿等违法行为。</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第五十一条评标委员会可以书面方式要求投标人对投标文件中含义不明确、对</w:t>
      </w:r>
      <w:r>
        <w:t xml:space="preserve"> </w:t>
      </w:r>
      <w:r>
        <w:t>同类问题表述不一致或者有明显文字和计算错误的内容作必要的澄清、说明或补正。</w:t>
      </w:r>
      <w:r>
        <w:t xml:space="preserve"> </w:t>
      </w:r>
      <w:r>
        <w:t>评标委员会不得向投标人提出带有暗示性或诱导性的问题，或向其明确投标文件中的</w:t>
      </w:r>
      <w:r>
        <w:t xml:space="preserve"> </w:t>
      </w:r>
      <w:r>
        <w:t>遗漏和错误。</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sectPr w:rsidR="00245ACD">
          <w:footerReference w:type="even" r:id="rId11"/>
          <w:footerReference w:type="default" r:id="rId12"/>
          <w:type w:val="continuous"/>
          <w:pgSz w:w="9538" w:h="14741"/>
          <w:pgMar w:top="962" w:right="626" w:bottom="979" w:left="632" w:header="0" w:footer="3" w:gutter="0"/>
          <w:cols w:space="720"/>
          <w:docGrid w:linePitch="360"/>
        </w:sectPr>
      </w:pPr>
      <w:r>
        <w:t>第五十二条投标文件不响应招标文件的实质性要求和条件的，评标委员会不得</w:t>
      </w:r>
      <w:r>
        <w:t xml:space="preserve"> </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0"/>
        <w:jc w:val="both"/>
      </w:pPr>
      <w:r>
        <w:lastRenderedPageBreak/>
        <w:t>允许投标人通过修正或撤销其不符合要求的差异或保留，使之成为具有响应性的投</w:t>
      </w:r>
      <w:r>
        <w:t xml:space="preserve"> </w:t>
      </w:r>
      <w:r>
        <w:t>标。</w:t>
      </w:r>
    </w:p>
    <w:p w:rsidR="00245ACD" w:rsidRDefault="00266C09">
      <w:pPr>
        <w:pStyle w:val="Bodytext1"/>
        <w:pBdr>
          <w:top w:val="single" w:sz="4" w:space="0" w:color="auto"/>
          <w:left w:val="single" w:sz="4" w:space="0" w:color="auto"/>
          <w:bottom w:val="single" w:sz="4" w:space="0" w:color="auto"/>
          <w:right w:val="single" w:sz="4" w:space="0" w:color="auto"/>
        </w:pBdr>
        <w:spacing w:line="334" w:lineRule="exact"/>
        <w:ind w:firstLine="440"/>
        <w:jc w:val="both"/>
      </w:pPr>
      <w:r>
        <w:t>第五十三条评标委员会在对实质上响应招标文件要求的投标进行报价评估时，</w:t>
      </w:r>
      <w:r>
        <w:t xml:space="preserve"> </w:t>
      </w:r>
      <w:r>
        <w:t>除招标文件另有约定外，应当按下述原则进行修正：</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73"/>
        </w:tabs>
        <w:spacing w:line="334" w:lineRule="exact"/>
        <w:ind w:firstLine="560"/>
        <w:jc w:val="both"/>
      </w:pPr>
      <w:bookmarkStart w:id="65" w:name="bookmark215"/>
      <w:r>
        <w:t>（</w:t>
      </w:r>
      <w:bookmarkEnd w:id="65"/>
      <w:r>
        <w:t>一）</w:t>
      </w:r>
      <w:r>
        <w:tab/>
      </w:r>
      <w:r>
        <w:t>用数字表示的数额与用文字表示的数额不一致时，以文字数额为准；</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70"/>
        </w:tabs>
        <w:spacing w:line="332" w:lineRule="exact"/>
        <w:ind w:firstLine="560"/>
        <w:jc w:val="both"/>
      </w:pPr>
      <w:bookmarkStart w:id="66" w:name="bookmark216"/>
      <w:r>
        <w:t>（</w:t>
      </w:r>
      <w:bookmarkEnd w:id="66"/>
      <w:r>
        <w:t>二）</w:t>
      </w:r>
      <w:r>
        <w:tab/>
      </w:r>
      <w:r>
        <w:t>单价与工程量的乘积与总价之间不一致时，以单价为准。若单价有明显的</w:t>
      </w:r>
      <w:r>
        <w:t xml:space="preserve"> </w:t>
      </w:r>
      <w:r>
        <w:t>小数点错位，应以总价为准，并修改单价。</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按前款规定调整后的报价经投标人确认后产生约束力。</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投标文件中没有列入的价格和优惠条件在评标时不予考虑。</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第五十四条对于投标人提交的优越于招标文件中技术标准的备选投标方案所产</w:t>
      </w:r>
      <w:r>
        <w:t xml:space="preserve"> </w:t>
      </w:r>
      <w:r>
        <w:t>生的附加收益，不得考虑进评标价中。符合招标文件的基本技术要求且评标价最低或</w:t>
      </w:r>
      <w:r>
        <w:t xml:space="preserve"> </w:t>
      </w:r>
      <w:r>
        <w:t>综合评分最高的投标人，其所提交的备选方案方可予以考虑。</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第五十五条</w:t>
      </w:r>
      <w:r>
        <w:t xml:space="preserve"> </w:t>
      </w:r>
      <w:r>
        <w:t>招标人设有标底的，标底在评标中应当作为参考，但不得作为评标</w:t>
      </w:r>
      <w:r>
        <w:t xml:space="preserve"> </w:t>
      </w:r>
      <w:r>
        <w:t>的唯一依据。</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第五十六条</w:t>
      </w:r>
      <w:r>
        <w:t xml:space="preserve"> </w:t>
      </w:r>
      <w:r>
        <w:t>评标委员会完成评标后，应向招标人提出书面评标报告。评标报告</w:t>
      </w:r>
      <w:r>
        <w:t xml:space="preserve"> </w:t>
      </w:r>
      <w:r>
        <w:t>由评标委员会全体成员签字。</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依法必须进行招标的项目，招标人应当自收到评标报告之日起三日内公示中标候</w:t>
      </w:r>
      <w:r>
        <w:t xml:space="preserve"> </w:t>
      </w:r>
      <w:r>
        <w:t>选人，公示期不得少于三日。</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中标通知书由招标人发出。</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第五十七条评标委员会推荐的中标候选人应当限定在一至三人，并标明排列顺</w:t>
      </w:r>
      <w:r>
        <w:t xml:space="preserve"> </w:t>
      </w:r>
      <w:r>
        <w:t>序。招标人应当接受评标委员会推荐的中标候选人，不得在评标委员会推荐的中标候</w:t>
      </w:r>
      <w:r>
        <w:t xml:space="preserve"> </w:t>
      </w:r>
      <w:r>
        <w:t>选人之外确定中标人。</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第五十八条</w:t>
      </w:r>
      <w:r>
        <w:t xml:space="preserve"> </w:t>
      </w:r>
      <w:r>
        <w:t>国有资金占控股或者主导地位的依法必须进行招标的项目，招标人</w:t>
      </w:r>
      <w:r>
        <w:t xml:space="preserve"> </w:t>
      </w:r>
      <w:r>
        <w:t>应当确定排名第一的中标候选人为中标人。排名第一的中标候选人放弃中标、因不可</w:t>
      </w:r>
      <w:r>
        <w:t xml:space="preserve"> </w:t>
      </w:r>
      <w:r>
        <w:t>抗力提出不能履行合同、不按照招标文件的要求提交履约保证金，或者被查实存在影</w:t>
      </w:r>
      <w:r>
        <w:t xml:space="preserve"> </w:t>
      </w:r>
      <w:r>
        <w:t>响中标结果的违法行为等情形，不符合中标条件的，招标人可以按照评标委员会提出</w:t>
      </w:r>
      <w:r>
        <w:t xml:space="preserve"> </w:t>
      </w:r>
      <w:r>
        <w:t>的中标候选人名单排序依次确定其他中标候选人</w:t>
      </w:r>
      <w:r>
        <w:t>为中标人。依次确定其他中标候选人</w:t>
      </w:r>
      <w:r>
        <w:t xml:space="preserve"> </w:t>
      </w:r>
      <w:r>
        <w:t>与招标人预期差距较大，或者对招标人明显不利的，招标人可以重新招标。</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招标人可以授权评标委员会直接确定中标人。</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国务院对中标人的确定另有规定的，从其规定。</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第五十九条</w:t>
      </w:r>
      <w:r>
        <w:t xml:space="preserve"> </w:t>
      </w:r>
      <w:r>
        <w:t>招标人不得向中标人提出压低报价、增加工作量、缩短工期或其他</w:t>
      </w:r>
      <w:r>
        <w:t xml:space="preserve"> </w:t>
      </w:r>
      <w:r>
        <w:t>违背中标人意愿的要求，以此作为发出中标通知书和签订合同的条件。</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第六十条</w:t>
      </w:r>
      <w:r>
        <w:t xml:space="preserve"> </w:t>
      </w:r>
      <w:r>
        <w:t>中标通知书对招标人和中标人具有法律效力。中标通知书发出后，招</w:t>
      </w:r>
      <w:r>
        <w:t xml:space="preserve"> </w:t>
      </w:r>
      <w:r>
        <w:t>标人改变中标结果的，或者中标人放弃中标项目的，应当依法承担法律责任。</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第六十一条招标人全部或者部分使用非中标单位投标</w:t>
      </w:r>
      <w:r>
        <w:t>文件中的技术成果或技术</w:t>
      </w:r>
      <w:r>
        <w:t xml:space="preserve"> </w:t>
      </w:r>
      <w:r>
        <w:t>方案时，需征得其书面同意，并给予一定的经济补偿。</w:t>
      </w:r>
    </w:p>
    <w:p w:rsidR="00245ACD" w:rsidRDefault="00266C09">
      <w:pPr>
        <w:pStyle w:val="Bodytext1"/>
        <w:pBdr>
          <w:top w:val="single" w:sz="4" w:space="0" w:color="auto"/>
          <w:left w:val="single" w:sz="4" w:space="0" w:color="auto"/>
          <w:bottom w:val="single" w:sz="4" w:space="0" w:color="auto"/>
          <w:right w:val="single" w:sz="4" w:space="0" w:color="auto"/>
        </w:pBdr>
        <w:spacing w:line="332" w:lineRule="exact"/>
        <w:ind w:firstLine="440"/>
        <w:jc w:val="both"/>
      </w:pPr>
      <w:r>
        <w:t>第六十二条招标人和中标人应当在投标有效期内并在自中标通知书发出之日起</w:t>
      </w:r>
      <w:r>
        <w:t xml:space="preserve"> </w:t>
      </w:r>
      <w:r>
        <w:t>三十日内，按照招标文件和中标人的投标文件订立书面合同。招标人和中标人不得再</w:t>
      </w:r>
      <w:r>
        <w:t xml:space="preserve"> </w:t>
      </w:r>
      <w:r>
        <w:t>行订立背离合同实质性内容的其他协议。</w:t>
      </w:r>
    </w:p>
    <w:p w:rsidR="00245ACD" w:rsidRDefault="00266C09">
      <w:pPr>
        <w:pStyle w:val="Bodytext1"/>
        <w:pBdr>
          <w:top w:val="single" w:sz="4" w:space="0" w:color="auto"/>
          <w:left w:val="single" w:sz="4" w:space="0" w:color="auto"/>
          <w:bottom w:val="single" w:sz="4" w:space="0" w:color="auto"/>
          <w:right w:val="single" w:sz="4" w:space="0" w:color="auto"/>
        </w:pBdr>
        <w:spacing w:line="331" w:lineRule="exact"/>
        <w:ind w:firstLine="440"/>
        <w:jc w:val="both"/>
      </w:pPr>
      <w:r>
        <w:lastRenderedPageBreak/>
        <w:t>招标人要求中标人提供履约保证金或其他形式履约担保的，招标人应当同时向中</w:t>
      </w:r>
      <w:r>
        <w:t xml:space="preserve"> </w:t>
      </w:r>
      <w:r>
        <w:t>标人提供工程款支付担保。</w:t>
      </w:r>
    </w:p>
    <w:p w:rsidR="00245ACD" w:rsidRDefault="00266C09">
      <w:pPr>
        <w:pStyle w:val="Bodytext1"/>
        <w:pBdr>
          <w:top w:val="single" w:sz="4" w:space="0" w:color="auto"/>
          <w:left w:val="single" w:sz="4" w:space="0" w:color="auto"/>
          <w:bottom w:val="single" w:sz="4" w:space="0" w:color="auto"/>
          <w:right w:val="single" w:sz="4" w:space="0" w:color="auto"/>
        </w:pBdr>
        <w:spacing w:line="331" w:lineRule="exact"/>
        <w:ind w:firstLine="440"/>
        <w:jc w:val="both"/>
      </w:pPr>
      <w:r>
        <w:t>招标人不得擅自提高履约保证金，不得强制要求中标人垫付中标项目建设资金。</w:t>
      </w:r>
    </w:p>
    <w:p w:rsidR="00245ACD" w:rsidRDefault="00266C09">
      <w:pPr>
        <w:pStyle w:val="Bodytext1"/>
        <w:pBdr>
          <w:top w:val="single" w:sz="4" w:space="0" w:color="auto"/>
          <w:left w:val="single" w:sz="4" w:space="0" w:color="auto"/>
          <w:bottom w:val="single" w:sz="4" w:space="0" w:color="auto"/>
          <w:right w:val="single" w:sz="4" w:space="0" w:color="auto"/>
        </w:pBdr>
        <w:spacing w:line="331" w:lineRule="exact"/>
        <w:ind w:firstLine="440"/>
        <w:jc w:val="both"/>
      </w:pPr>
      <w:r>
        <w:t>第六十三条招标人最迟应当在与中标人签订合同后五日内，向中标人和未中标</w:t>
      </w:r>
      <w:r>
        <w:t xml:space="preserve"> </w:t>
      </w:r>
      <w:r>
        <w:t>的投标人退还投</w:t>
      </w:r>
      <w:r>
        <w:t>标保证金及银行同期存款利息。</w:t>
      </w:r>
    </w:p>
    <w:p w:rsidR="00245ACD" w:rsidRDefault="00266C09">
      <w:pPr>
        <w:pStyle w:val="Bodytext1"/>
        <w:pBdr>
          <w:top w:val="single" w:sz="4" w:space="0" w:color="auto"/>
          <w:left w:val="single" w:sz="4" w:space="0" w:color="auto"/>
          <w:bottom w:val="single" w:sz="4" w:space="0" w:color="auto"/>
          <w:right w:val="single" w:sz="4" w:space="0" w:color="auto"/>
        </w:pBdr>
        <w:spacing w:line="331" w:lineRule="exact"/>
        <w:ind w:firstLine="440"/>
        <w:jc w:val="both"/>
      </w:pPr>
      <w:r>
        <w:t>第六十四条</w:t>
      </w:r>
      <w:r>
        <w:t xml:space="preserve"> </w:t>
      </w:r>
      <w:r>
        <w:t>合同中确定的建设规模、建设标准、建设内容、合同价格应当控制</w:t>
      </w:r>
      <w:r>
        <w:t xml:space="preserve"> </w:t>
      </w:r>
      <w:r>
        <w:t>在批准的初步设计及概算文件范围内；确需超出规定范围的，应当在中标合同签订</w:t>
      </w:r>
      <w:r>
        <w:t xml:space="preserve"> </w:t>
      </w:r>
      <w:r>
        <w:t>前，报原项目审批部门审查同意。凡应报经审查而未报的，在初步设计及概算调整</w:t>
      </w:r>
      <w:r>
        <w:t xml:space="preserve"> </w:t>
      </w:r>
      <w:r>
        <w:t>时，原项目审批部门一律不予承认。</w:t>
      </w:r>
    </w:p>
    <w:p w:rsidR="00245ACD" w:rsidRDefault="00266C09">
      <w:pPr>
        <w:pStyle w:val="Bodytext1"/>
        <w:pBdr>
          <w:top w:val="single" w:sz="4" w:space="0" w:color="auto"/>
          <w:left w:val="single" w:sz="4" w:space="0" w:color="auto"/>
          <w:bottom w:val="single" w:sz="4" w:space="0" w:color="auto"/>
          <w:right w:val="single" w:sz="4" w:space="0" w:color="auto"/>
        </w:pBdr>
        <w:spacing w:line="331" w:lineRule="exact"/>
        <w:ind w:firstLine="440"/>
        <w:jc w:val="both"/>
      </w:pPr>
      <w:r>
        <w:t>第六十五条</w:t>
      </w:r>
      <w:r>
        <w:t xml:space="preserve"> </w:t>
      </w:r>
      <w:r>
        <w:t>依法必须进行施工招标的项目，招标人应当自发出中标通知书之日</w:t>
      </w:r>
      <w:r>
        <w:t xml:space="preserve"> </w:t>
      </w:r>
      <w:r>
        <w:t>起十五日内，向有关行政监督部门提交招标投标情况的书面报告。</w:t>
      </w:r>
    </w:p>
    <w:p w:rsidR="00245ACD" w:rsidRDefault="00266C09">
      <w:pPr>
        <w:pStyle w:val="Bodytext1"/>
        <w:pBdr>
          <w:top w:val="single" w:sz="4" w:space="0" w:color="auto"/>
          <w:left w:val="single" w:sz="4" w:space="0" w:color="auto"/>
          <w:bottom w:val="single" w:sz="4" w:space="0" w:color="auto"/>
          <w:right w:val="single" w:sz="4" w:space="0" w:color="auto"/>
        </w:pBdr>
        <w:spacing w:line="331" w:lineRule="exact"/>
        <w:ind w:firstLine="440"/>
        <w:jc w:val="both"/>
      </w:pPr>
      <w:r>
        <w:t>前款所称书面报告至少应包括下列内容：</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62"/>
        </w:tabs>
        <w:spacing w:line="331" w:lineRule="exact"/>
        <w:ind w:firstLine="560"/>
        <w:jc w:val="both"/>
      </w:pPr>
      <w:bookmarkStart w:id="67" w:name="bookmark217"/>
      <w:r>
        <w:t>（</w:t>
      </w:r>
      <w:bookmarkEnd w:id="67"/>
      <w:r>
        <w:t>一）</w:t>
      </w:r>
      <w:r>
        <w:tab/>
      </w:r>
      <w:r>
        <w:t>招标范围；</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62"/>
        </w:tabs>
        <w:spacing w:line="331" w:lineRule="exact"/>
        <w:ind w:firstLine="560"/>
        <w:jc w:val="both"/>
      </w:pPr>
      <w:bookmarkStart w:id="68" w:name="bookmark218"/>
      <w:r>
        <w:t>（</w:t>
      </w:r>
      <w:bookmarkEnd w:id="68"/>
      <w:r>
        <w:t>二）</w:t>
      </w:r>
      <w:r>
        <w:tab/>
      </w:r>
      <w:r>
        <w:t>招标方式和发布招标公告的媒介；</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63"/>
        </w:tabs>
        <w:spacing w:line="331" w:lineRule="exact"/>
        <w:ind w:firstLine="560"/>
        <w:jc w:val="both"/>
      </w:pPr>
      <w:bookmarkStart w:id="69" w:name="bookmark219"/>
      <w:r>
        <w:t>（</w:t>
      </w:r>
      <w:bookmarkEnd w:id="69"/>
      <w:r>
        <w:t>三）</w:t>
      </w:r>
      <w:r>
        <w:tab/>
      </w:r>
      <w:r>
        <w:t>招标文件中投标人须知、技术条款、评标标准和方法、合同主要条款等内</w:t>
      </w:r>
      <w:r>
        <w:t xml:space="preserve"> </w:t>
      </w:r>
      <w:r>
        <w:t>容；</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66"/>
        </w:tabs>
        <w:spacing w:line="331" w:lineRule="exact"/>
        <w:ind w:firstLine="560"/>
        <w:jc w:val="both"/>
      </w:pPr>
      <w:bookmarkStart w:id="70" w:name="bookmark220"/>
      <w:r>
        <w:t>（</w:t>
      </w:r>
      <w:bookmarkEnd w:id="70"/>
      <w:r>
        <w:t>四）</w:t>
      </w:r>
      <w:r>
        <w:tab/>
      </w:r>
      <w:r>
        <w:t>评标委员会的组成和评标报告；</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66"/>
        </w:tabs>
        <w:spacing w:line="331" w:lineRule="exact"/>
        <w:ind w:firstLine="560"/>
        <w:jc w:val="both"/>
      </w:pPr>
      <w:bookmarkStart w:id="71" w:name="bookmark221"/>
      <w:r>
        <w:t>（</w:t>
      </w:r>
      <w:bookmarkEnd w:id="71"/>
      <w:r>
        <w:t>五）</w:t>
      </w:r>
      <w:r>
        <w:tab/>
      </w:r>
      <w:r>
        <w:t>中标结果。</w:t>
      </w:r>
    </w:p>
    <w:p w:rsidR="00245ACD" w:rsidRDefault="00266C09">
      <w:pPr>
        <w:pStyle w:val="Bodytext1"/>
        <w:pBdr>
          <w:top w:val="single" w:sz="4" w:space="0" w:color="auto"/>
          <w:left w:val="single" w:sz="4" w:space="0" w:color="auto"/>
          <w:bottom w:val="single" w:sz="4" w:space="0" w:color="auto"/>
          <w:right w:val="single" w:sz="4" w:space="0" w:color="auto"/>
        </w:pBdr>
        <w:spacing w:line="331" w:lineRule="exact"/>
        <w:ind w:firstLine="440"/>
        <w:jc w:val="both"/>
      </w:pPr>
      <w:r>
        <w:t>第六十六条招标人不得直接指定分包人。</w:t>
      </w:r>
    </w:p>
    <w:p w:rsidR="00245ACD" w:rsidRDefault="00266C09">
      <w:pPr>
        <w:pStyle w:val="Bodytext1"/>
        <w:pBdr>
          <w:top w:val="single" w:sz="4" w:space="0" w:color="auto"/>
          <w:left w:val="single" w:sz="4" w:space="0" w:color="auto"/>
          <w:bottom w:val="single" w:sz="4" w:space="0" w:color="auto"/>
          <w:right w:val="single" w:sz="4" w:space="0" w:color="auto"/>
        </w:pBdr>
        <w:spacing w:line="331" w:lineRule="exact"/>
        <w:ind w:firstLine="440"/>
        <w:jc w:val="both"/>
      </w:pPr>
      <w:r>
        <w:t>第六十七条对于不具备分包条件或者不符合分包规定的，招标人有权在签订合</w:t>
      </w:r>
      <w:r>
        <w:t xml:space="preserve"> </w:t>
      </w:r>
      <w:r>
        <w:t>同或者中标人提出分包要求时予以拒绝。发现中标人转包或违法分包时，可要求其改</w:t>
      </w:r>
      <w:r>
        <w:t xml:space="preserve"> </w:t>
      </w:r>
      <w:r>
        <w:t>正；拒不改正的，可终止合同，并报请有关行政监督部门查处。</w:t>
      </w:r>
    </w:p>
    <w:p w:rsidR="00245ACD" w:rsidRDefault="00266C09">
      <w:pPr>
        <w:pStyle w:val="Bodytext1"/>
        <w:pBdr>
          <w:top w:val="single" w:sz="4" w:space="0" w:color="auto"/>
          <w:left w:val="single" w:sz="4" w:space="0" w:color="auto"/>
          <w:bottom w:val="single" w:sz="4" w:space="0" w:color="auto"/>
          <w:right w:val="single" w:sz="4" w:space="0" w:color="auto"/>
        </w:pBdr>
        <w:spacing w:line="331" w:lineRule="exact"/>
        <w:ind w:firstLine="440"/>
        <w:jc w:val="both"/>
      </w:pPr>
      <w:r>
        <w:t>监理人员和有关行政部门发现中标人违反合同约定进行转包或违法分包的，应当</w:t>
      </w:r>
      <w:r>
        <w:t xml:space="preserve"> </w:t>
      </w:r>
      <w:r>
        <w:t>要求中标人改正，或者告知招标人要求其改正；对于拒不改正的，应当报请有关行政</w:t>
      </w:r>
      <w:r>
        <w:t xml:space="preserve"> </w:t>
      </w:r>
      <w:r>
        <w:t>监督部门查处。</w:t>
      </w:r>
    </w:p>
    <w:p w:rsidR="00245ACD" w:rsidRDefault="00266C09">
      <w:pPr>
        <w:pStyle w:val="Bodytext1"/>
        <w:pBdr>
          <w:top w:val="single" w:sz="4" w:space="0" w:color="auto"/>
          <w:left w:val="single" w:sz="4" w:space="0" w:color="auto"/>
          <w:bottom w:val="single" w:sz="4" w:space="0" w:color="auto"/>
          <w:right w:val="single" w:sz="4" w:space="0" w:color="auto"/>
        </w:pBdr>
        <w:spacing w:line="331" w:lineRule="exact"/>
        <w:ind w:firstLine="0"/>
        <w:jc w:val="center"/>
      </w:pPr>
      <w:r>
        <w:t>第五章法律责任</w:t>
      </w:r>
    </w:p>
    <w:p w:rsidR="00245ACD" w:rsidRDefault="00266C09">
      <w:pPr>
        <w:pStyle w:val="Bodytext1"/>
        <w:pBdr>
          <w:top w:val="single" w:sz="4" w:space="0" w:color="auto"/>
          <w:left w:val="single" w:sz="4" w:space="0" w:color="auto"/>
          <w:bottom w:val="single" w:sz="4" w:space="0" w:color="auto"/>
          <w:right w:val="single" w:sz="4" w:space="0" w:color="auto"/>
        </w:pBdr>
        <w:spacing w:line="331" w:lineRule="exact"/>
        <w:ind w:firstLine="440"/>
        <w:jc w:val="both"/>
      </w:pPr>
      <w:r>
        <w:t>第六十八条依法必须进行招标的项目而不招标的，将必须进行招标的项目化整</w:t>
      </w:r>
      <w:r>
        <w:t xml:space="preserve"> </w:t>
      </w:r>
      <w:r>
        <w:t>为零或者以其他任何方式规避招标的，有关行政监督部门责令限期改正，可以处项目</w:t>
      </w:r>
      <w:r>
        <w:t xml:space="preserve"> </w:t>
      </w:r>
      <w:r>
        <w:t>合同金额千分之五以上千分之十以下的罚款；对全部或者部分使用国有资金的项目，</w:t>
      </w:r>
      <w:r>
        <w:t xml:space="preserve"> </w:t>
      </w:r>
      <w:r>
        <w:t>项目审批部门可以暂停项目执行或者暂停资金拨付；对单位直接负责的主管人员和其</w:t>
      </w:r>
      <w:r>
        <w:t xml:space="preserve"> </w:t>
      </w:r>
      <w:r>
        <w:t>他直接责任人员依法给予处分。</w:t>
      </w:r>
    </w:p>
    <w:p w:rsidR="00245ACD" w:rsidRDefault="00266C09">
      <w:pPr>
        <w:pStyle w:val="Bodytext1"/>
        <w:pBdr>
          <w:top w:val="single" w:sz="4" w:space="0" w:color="auto"/>
          <w:left w:val="single" w:sz="4" w:space="0" w:color="auto"/>
          <w:bottom w:val="single" w:sz="4" w:space="0" w:color="auto"/>
          <w:right w:val="single" w:sz="4" w:space="0" w:color="auto"/>
        </w:pBdr>
        <w:spacing w:line="331" w:lineRule="exact"/>
        <w:ind w:firstLine="440"/>
        <w:jc w:val="both"/>
      </w:pPr>
      <w:r>
        <w:t>第六十九条招标代理机构违法泄露应当保密的与招标投标活动有关的情况和资</w:t>
      </w:r>
      <w:r>
        <w:t xml:space="preserve"> </w:t>
      </w:r>
      <w:r>
        <w:t>料的，</w:t>
      </w:r>
      <w:r>
        <w:t>或者与招标人、投标人串通损害国家利益、社会公共利益或者他人合法权益</w:t>
      </w:r>
      <w:r>
        <w:t xml:space="preserve"> </w:t>
      </w:r>
      <w:r>
        <w:t>的，由有关行政监督部门处五万元以上二十五万元以下罚款，对单位直接负责的主管</w:t>
      </w:r>
      <w:r>
        <w:t xml:space="preserve"> </w:t>
      </w:r>
      <w:r>
        <w:t>人员和其他直接责任人员处单位罚款数额百分之五以上百分之十以下罚款；有违法所</w:t>
      </w:r>
      <w:r>
        <w:t xml:space="preserve"> </w:t>
      </w:r>
      <w:r>
        <w:t>得的，并处没收违法所得；情节严重的，有关行政监督部门可停止其一定时期内参与</w:t>
      </w:r>
      <w:r>
        <w:t xml:space="preserve"> </w:t>
      </w:r>
      <w:r>
        <w:t>相关领域的招标代理业务，资格认定部门可暂停直至取消招标代理资格；构成犯罪</w:t>
      </w:r>
      <w:r>
        <w:t xml:space="preserve"> </w:t>
      </w:r>
      <w:r>
        <w:t>的，由司法部门依法追究刑事责任。给他人造成损失的，依法承担赔偿责任。</w:t>
      </w:r>
    </w:p>
    <w:p w:rsidR="00245ACD" w:rsidRDefault="00266C09">
      <w:pPr>
        <w:pStyle w:val="Bodytext1"/>
        <w:pBdr>
          <w:top w:val="single" w:sz="4" w:space="0" w:color="auto"/>
          <w:left w:val="single" w:sz="4" w:space="0" w:color="auto"/>
          <w:bottom w:val="single" w:sz="4" w:space="0" w:color="auto"/>
          <w:right w:val="single" w:sz="4" w:space="0" w:color="auto"/>
        </w:pBdr>
        <w:spacing w:line="331" w:lineRule="exact"/>
        <w:ind w:firstLine="440"/>
        <w:jc w:val="both"/>
      </w:pPr>
      <w:r>
        <w:t>前款所列行为影响中标结果，并且中标人为前款所列行为的受益人的，中标无</w:t>
      </w:r>
      <w:r>
        <w:t xml:space="preserve"> </w:t>
      </w:r>
      <w:r>
        <w:t>效</w:t>
      </w:r>
      <w:r>
        <w:t>。</w:t>
      </w:r>
    </w:p>
    <w:p w:rsidR="00245ACD" w:rsidRDefault="00266C09">
      <w:pPr>
        <w:pStyle w:val="Bodytext1"/>
        <w:pBdr>
          <w:top w:val="single" w:sz="4" w:space="0" w:color="auto"/>
          <w:left w:val="single" w:sz="4" w:space="0" w:color="auto"/>
          <w:bottom w:val="single" w:sz="4" w:space="0" w:color="auto"/>
          <w:right w:val="single" w:sz="4" w:space="0" w:color="auto"/>
        </w:pBdr>
        <w:spacing w:line="331" w:lineRule="exact"/>
        <w:ind w:firstLine="440"/>
        <w:jc w:val="both"/>
      </w:pPr>
      <w:r>
        <w:t>第七十条招标人以不合理的条件限制或者排斥潜在投标人的，对潜在投标人实</w:t>
      </w:r>
      <w:r>
        <w:t xml:space="preserve"> </w:t>
      </w:r>
      <w:r>
        <w:t>行歧视待遇的，强制要求投标人组成联合体共同投标的，或者限制投标人之间竞争</w:t>
      </w:r>
      <w:r>
        <w:t xml:space="preserve"> </w:t>
      </w:r>
      <w:r>
        <w:t>的，有关行政监督部门</w:t>
      </w:r>
      <w:r>
        <w:lastRenderedPageBreak/>
        <w:t>责令改正，可处一万元以上五万元以下罚款。</w:t>
      </w:r>
    </w:p>
    <w:p w:rsidR="00245ACD" w:rsidRDefault="00266C09">
      <w:pPr>
        <w:pStyle w:val="Bodytext1"/>
        <w:pBdr>
          <w:top w:val="single" w:sz="4" w:space="0" w:color="auto"/>
          <w:left w:val="single" w:sz="4" w:space="0" w:color="auto"/>
          <w:bottom w:val="single" w:sz="4" w:space="0" w:color="auto"/>
          <w:right w:val="single" w:sz="4" w:space="0" w:color="auto"/>
        </w:pBdr>
        <w:spacing w:line="331" w:lineRule="exact"/>
        <w:ind w:firstLine="440"/>
        <w:jc w:val="both"/>
      </w:pPr>
      <w:r>
        <w:t>第七十一条</w:t>
      </w:r>
      <w:r>
        <w:t xml:space="preserve"> </w:t>
      </w:r>
      <w:r>
        <w:t>依法必须进行招标项目的招标人向他人透露巳获取招标文件的潜在</w:t>
      </w:r>
      <w:r>
        <w:t xml:space="preserve"> </w:t>
      </w:r>
      <w:r>
        <w:t>投标人的名称、数量或者可能影响公平竞争的有关招标投标的其他情况的，或者泄露</w:t>
      </w:r>
      <w:r>
        <w:t xml:space="preserve"> </w:t>
      </w:r>
      <w:r>
        <w:t>标底的，有关行政监督部门给予警告，可以并处一万元以上十万元以下的罚款；对单</w:t>
      </w:r>
      <w:r>
        <w:t xml:space="preserve"> </w:t>
      </w:r>
      <w:r>
        <w:t>位直接负责的主管人员和其他直接责任人员依法给予处分；构成犯罪的，依法追究刑</w:t>
      </w:r>
      <w:r>
        <w:t xml:space="preserve"> </w:t>
      </w:r>
      <w:r>
        <w:t>事</w:t>
      </w:r>
      <w:r>
        <w:t>责任。</w:t>
      </w:r>
    </w:p>
    <w:p w:rsidR="00245ACD" w:rsidRDefault="00266C09">
      <w:pPr>
        <w:pStyle w:val="Bodytext1"/>
        <w:pBdr>
          <w:top w:val="single" w:sz="4" w:space="0" w:color="auto"/>
          <w:left w:val="single" w:sz="4" w:space="0" w:color="auto"/>
          <w:bottom w:val="single" w:sz="4" w:space="0" w:color="auto"/>
          <w:right w:val="single" w:sz="4" w:space="0" w:color="auto"/>
        </w:pBdr>
        <w:spacing w:line="331" w:lineRule="exact"/>
        <w:ind w:firstLine="440"/>
        <w:jc w:val="both"/>
      </w:pPr>
      <w:r>
        <w:t>前款所列行为影响中标结果的，中标无效。</w:t>
      </w:r>
    </w:p>
    <w:p w:rsidR="00245ACD" w:rsidRDefault="00266C09">
      <w:pPr>
        <w:pStyle w:val="Bodytext1"/>
        <w:pBdr>
          <w:top w:val="single" w:sz="4" w:space="0" w:color="auto"/>
          <w:left w:val="single" w:sz="4" w:space="0" w:color="auto"/>
          <w:bottom w:val="single" w:sz="4" w:space="0" w:color="auto"/>
          <w:right w:val="single" w:sz="4" w:space="0" w:color="auto"/>
        </w:pBdr>
        <w:spacing w:line="331" w:lineRule="exact"/>
        <w:ind w:firstLine="440"/>
        <w:jc w:val="both"/>
      </w:pPr>
      <w:r>
        <w:t>第七十二条招标人在发布招标公告、发出投标邀请书或者售出招标文件或资格</w:t>
      </w:r>
      <w:r>
        <w:t xml:space="preserve"> </w:t>
      </w:r>
      <w:r>
        <w:t>预审文件后终止招标的，应当及时退还所收取的资格预审文件、招标文件的费用，以</w:t>
      </w:r>
      <w:r>
        <w:t xml:space="preserve"> </w:t>
      </w:r>
      <w:r>
        <w:t>及所收取的投标保证金及银行同期存款利息。给潜在投标人或者投标人造成损失的，</w:t>
      </w:r>
      <w:r>
        <w:t xml:space="preserve"> </w:t>
      </w:r>
      <w:r>
        <w:t>应当赔偿损失。</w:t>
      </w:r>
    </w:p>
    <w:p w:rsidR="00245ACD" w:rsidRDefault="00266C09">
      <w:pPr>
        <w:pStyle w:val="Bodytext1"/>
        <w:pBdr>
          <w:top w:val="single" w:sz="4" w:space="0" w:color="auto"/>
          <w:left w:val="single" w:sz="4" w:space="0" w:color="auto"/>
          <w:bottom w:val="single" w:sz="4" w:space="0" w:color="auto"/>
          <w:right w:val="single" w:sz="4" w:space="0" w:color="auto"/>
        </w:pBdr>
        <w:spacing w:line="331" w:lineRule="exact"/>
        <w:ind w:firstLine="440"/>
        <w:jc w:val="both"/>
      </w:pPr>
      <w:r>
        <w:t>第七十三条招标人有下列限制或者排斥潜在投标人行为之一的，由有关行政监</w:t>
      </w:r>
      <w:r>
        <w:t xml:space="preserve"> </w:t>
      </w:r>
      <w:r>
        <w:t>督部门依照招标投标法第五十一条的规定处罚；其中，构成依法必须进行施工招标的</w:t>
      </w:r>
      <w:r>
        <w:t xml:space="preserve"> </w:t>
      </w:r>
      <w:r>
        <w:t>项目的招标人规避招标的，依照招标投标法第四十九条的规定处罚。</w:t>
      </w:r>
    </w:p>
    <w:p w:rsidR="00245ACD" w:rsidRDefault="00266C09">
      <w:pPr>
        <w:pStyle w:val="Bodytext1"/>
        <w:pBdr>
          <w:top w:val="single" w:sz="4" w:space="0" w:color="auto"/>
          <w:left w:val="single" w:sz="4" w:space="0" w:color="auto"/>
          <w:bottom w:val="single" w:sz="4" w:space="0" w:color="auto"/>
          <w:right w:val="single" w:sz="4" w:space="0" w:color="auto"/>
        </w:pBdr>
        <w:spacing w:line="331" w:lineRule="exact"/>
        <w:ind w:firstLine="440"/>
        <w:jc w:val="both"/>
      </w:pPr>
      <w:r>
        <w:t>招标人有前款第一项、第三项、第四项所列行为之一的，对单位直接负责的主管</w:t>
      </w:r>
      <w:r>
        <w:t xml:space="preserve"> </w:t>
      </w:r>
      <w:r>
        <w:t>人员和其他直接责任人员依法给予处分。</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43"/>
        </w:tabs>
        <w:spacing w:line="331" w:lineRule="exact"/>
        <w:ind w:firstLine="560"/>
        <w:jc w:val="both"/>
      </w:pPr>
      <w:bookmarkStart w:id="72" w:name="bookmark222"/>
      <w:r>
        <w:t>（</w:t>
      </w:r>
      <w:bookmarkEnd w:id="72"/>
      <w:r>
        <w:t>一）</w:t>
      </w:r>
      <w:r>
        <w:tab/>
      </w:r>
      <w:r>
        <w:t>依法应当公开招标的项目不按照规定在指定媒介发布资格预审公告或者招</w:t>
      </w:r>
      <w:r>
        <w:t xml:space="preserve"> </w:t>
      </w:r>
      <w:r>
        <w:t>标公告；</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43"/>
        </w:tabs>
        <w:spacing w:line="331" w:lineRule="exact"/>
        <w:ind w:firstLine="560"/>
        <w:jc w:val="both"/>
      </w:pPr>
      <w:bookmarkStart w:id="73" w:name="bookmark223"/>
      <w:r>
        <w:t>（</w:t>
      </w:r>
      <w:bookmarkEnd w:id="73"/>
      <w:r>
        <w:t>二）</w:t>
      </w:r>
      <w:r>
        <w:tab/>
      </w:r>
      <w:r>
        <w:t>在不同媒介发布的同一招标项目的资格预审公告或者招标公告的内容不一</w:t>
      </w:r>
      <w:r>
        <w:t xml:space="preserve"> </w:t>
      </w:r>
      <w:r>
        <w:t>致，影响潜在投标人申请资格预审或者投标。</w:t>
      </w:r>
    </w:p>
    <w:p w:rsidR="00245ACD" w:rsidRDefault="00266C09">
      <w:pPr>
        <w:pStyle w:val="Bodytext1"/>
        <w:pBdr>
          <w:top w:val="single" w:sz="4" w:space="0" w:color="auto"/>
          <w:left w:val="single" w:sz="4" w:space="0" w:color="auto"/>
          <w:bottom w:val="single" w:sz="4" w:space="0" w:color="auto"/>
          <w:right w:val="single" w:sz="4" w:space="0" w:color="auto"/>
        </w:pBdr>
        <w:spacing w:line="331" w:lineRule="exact"/>
        <w:ind w:firstLine="440"/>
        <w:jc w:val="both"/>
      </w:pPr>
      <w:r>
        <w:t>招标人有下列情形之一的，由有关行政监督部门责令改正，可以处</w:t>
      </w:r>
      <w:r>
        <w:t>10</w:t>
      </w:r>
      <w:r>
        <w:t>万元以下的</w:t>
      </w:r>
      <w:r>
        <w:t xml:space="preserve"> </w:t>
      </w:r>
      <w:r>
        <w:t>罚款：</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42"/>
        </w:tabs>
        <w:spacing w:line="331" w:lineRule="exact"/>
        <w:ind w:firstLine="560"/>
        <w:jc w:val="both"/>
      </w:pPr>
      <w:bookmarkStart w:id="74" w:name="bookmark224"/>
      <w:r>
        <w:t>（</w:t>
      </w:r>
      <w:bookmarkEnd w:id="74"/>
      <w:r>
        <w:t>一）</w:t>
      </w:r>
      <w:r>
        <w:tab/>
      </w:r>
      <w:r>
        <w:t>依法应当公开招标而釆用邀请招标；</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43"/>
        </w:tabs>
        <w:spacing w:line="331" w:lineRule="exact"/>
        <w:ind w:firstLine="560"/>
        <w:jc w:val="both"/>
      </w:pPr>
      <w:bookmarkStart w:id="75" w:name="bookmark225"/>
      <w:r>
        <w:t>（</w:t>
      </w:r>
      <w:bookmarkEnd w:id="75"/>
      <w:r>
        <w:t>二）</w:t>
      </w:r>
      <w:r>
        <w:tab/>
      </w:r>
      <w:r>
        <w:t>招标文件、资格预审文件的发售、澄清、修改的时限，或者确定的提交资</w:t>
      </w:r>
      <w:r>
        <w:t xml:space="preserve"> </w:t>
      </w:r>
      <w:r>
        <w:t>格预</w:t>
      </w:r>
      <w:r>
        <w:t>审申请文件、投标文件的时限不符合招标投标法和招标投标法实施条例规定；</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46"/>
        </w:tabs>
        <w:spacing w:line="331" w:lineRule="exact"/>
        <w:ind w:firstLine="560"/>
        <w:jc w:val="both"/>
      </w:pPr>
      <w:bookmarkStart w:id="76" w:name="bookmark226"/>
      <w:r>
        <w:t>（</w:t>
      </w:r>
      <w:bookmarkEnd w:id="76"/>
      <w:r>
        <w:t>三）</w:t>
      </w:r>
      <w:r>
        <w:tab/>
      </w:r>
      <w:r>
        <w:t>接受未通过资格预审的单位或者个人参加投标；</w:t>
      </w:r>
    </w:p>
    <w:p w:rsidR="00245ACD" w:rsidRDefault="00266C09">
      <w:pPr>
        <w:pStyle w:val="Bodytext1"/>
        <w:pBdr>
          <w:top w:val="single" w:sz="4" w:space="0" w:color="auto"/>
          <w:left w:val="single" w:sz="4" w:space="0" w:color="auto"/>
          <w:bottom w:val="single" w:sz="4" w:space="0" w:color="auto"/>
          <w:right w:val="single" w:sz="4" w:space="0" w:color="auto"/>
        </w:pBdr>
        <w:tabs>
          <w:tab w:val="left" w:pos="1146"/>
        </w:tabs>
        <w:spacing w:line="331" w:lineRule="exact"/>
        <w:ind w:firstLine="560"/>
        <w:jc w:val="both"/>
      </w:pPr>
      <w:bookmarkStart w:id="77" w:name="bookmark227"/>
      <w:r>
        <w:t>（</w:t>
      </w:r>
      <w:bookmarkEnd w:id="77"/>
      <w:r>
        <w:t>四）</w:t>
      </w:r>
      <w:r>
        <w:tab/>
      </w:r>
      <w:r>
        <w:t>接受应当拒收的投标文件。</w:t>
      </w:r>
    </w:p>
    <w:p w:rsidR="00245ACD" w:rsidRDefault="00266C09">
      <w:pPr>
        <w:pStyle w:val="Bodytext1"/>
        <w:pBdr>
          <w:top w:val="single" w:sz="4" w:space="0" w:color="auto"/>
          <w:left w:val="single" w:sz="4" w:space="0" w:color="auto"/>
          <w:bottom w:val="single" w:sz="4" w:space="0" w:color="auto"/>
          <w:right w:val="single" w:sz="4" w:space="0" w:color="auto"/>
        </w:pBdr>
        <w:spacing w:line="331" w:lineRule="exact"/>
        <w:ind w:firstLine="440"/>
        <w:jc w:val="both"/>
      </w:pPr>
      <w:r>
        <w:t>第七十四条投标人相互串通投标或者与招标人串通投标的，投标人以向招标人</w:t>
      </w:r>
      <w:r>
        <w:t xml:space="preserve"> </w:t>
      </w:r>
      <w:r>
        <w:t>或者评标委员会成员行贿的手段谋取中标的，中标无效，由有关行政监督部门处中标</w:t>
      </w:r>
      <w:r>
        <w:t xml:space="preserve"> </w:t>
      </w:r>
      <w:r>
        <w:t>项目金额千分之五以上千分之十以下的罚款，对单位直接负责的主管人员和其他直接</w:t>
      </w:r>
      <w:r>
        <w:t xml:space="preserve"> </w:t>
      </w:r>
      <w:r>
        <w:t>责任人员处单位罚款数额百分之五以上百分之十以下的罚款；有违法所得的，并处没</w:t>
      </w:r>
      <w:r>
        <w:t xml:space="preserve"> </w:t>
      </w:r>
      <w:r>
        <w:t>收违法所得；情节严重的，取消其一至二年的投标资格，并予以公告，直至由工商行</w:t>
      </w:r>
      <w:r>
        <w:t xml:space="preserve"> </w:t>
      </w:r>
      <w:r>
        <w:t>政管理机关吊销营业执照；构成犯罪的，依法追究刑事责任。给他人造成损失的，依</w:t>
      </w:r>
      <w:bookmarkStart w:id="78" w:name="OLE_LINK1"/>
      <w:bookmarkStart w:id="79" w:name="_GoBack"/>
      <w:r>
        <w:t>照其规定。</w:t>
      </w:r>
      <w:bookmarkEnd w:id="78"/>
      <w:bookmarkEnd w:id="79"/>
    </w:p>
    <w:p w:rsidR="00245ACD" w:rsidRDefault="00245ACD">
      <w:pPr>
        <w:rPr>
          <w:rFonts w:eastAsiaTheme="minorEastAsia"/>
          <w:lang w:eastAsia="zh-CN"/>
        </w:rPr>
      </w:pPr>
    </w:p>
    <w:sectPr w:rsidR="00245ACD">
      <w:footerReference w:type="even" r:id="rId13"/>
      <w:footerReference w:type="default" r:id="rId14"/>
      <w:footerReference w:type="first" r:id="rId15"/>
      <w:pgSz w:w="9538" w:h="14741"/>
      <w:pgMar w:top="962" w:right="626" w:bottom="979" w:left="632" w:header="0" w:footer="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C09" w:rsidRDefault="00266C09">
      <w:r>
        <w:separator/>
      </w:r>
    </w:p>
  </w:endnote>
  <w:endnote w:type="continuationSeparator" w:id="0">
    <w:p w:rsidR="00266C09" w:rsidRDefault="00266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ACD" w:rsidRDefault="00266C09">
    <w:pPr>
      <w:spacing w:line="1" w:lineRule="exact"/>
    </w:pPr>
    <w:r>
      <w:rPr>
        <w:noProof/>
        <w:lang w:eastAsia="zh-CN" w:bidi="ar-SA"/>
      </w:rPr>
      <mc:AlternateContent>
        <mc:Choice Requires="wps">
          <w:drawing>
            <wp:anchor distT="0" distB="0" distL="0" distR="0" simplePos="0" relativeHeight="251654144" behindDoc="1" locked="0" layoutInCell="1" allowOverlap="1">
              <wp:simplePos x="0" y="0"/>
              <wp:positionH relativeFrom="page">
                <wp:posOffset>2851785</wp:posOffset>
              </wp:positionH>
              <wp:positionV relativeFrom="page">
                <wp:posOffset>8799830</wp:posOffset>
              </wp:positionV>
              <wp:extent cx="347345" cy="94615"/>
              <wp:effectExtent l="0" t="0" r="0" b="0"/>
              <wp:wrapNone/>
              <wp:docPr id="43" name="Shape 43"/>
              <wp:cNvGraphicFramePr/>
              <a:graphic xmlns:a="http://schemas.openxmlformats.org/drawingml/2006/main">
                <a:graphicData uri="http://schemas.microsoft.com/office/word/2010/wordprocessingShape">
                  <wps:wsp>
                    <wps:cNvSpPr txBox="1"/>
                    <wps:spPr>
                      <a:xfrm>
                        <a:off x="0" y="0"/>
                        <a:ext cx="347345" cy="94615"/>
                      </a:xfrm>
                      <a:prstGeom prst="rect">
                        <a:avLst/>
                      </a:prstGeom>
                      <a:noFill/>
                    </wps:spPr>
                    <wps:txbx>
                      <w:txbxContent>
                        <w:p w:rsidR="00245ACD" w:rsidRDefault="00266C09">
                          <w:pPr>
                            <w:pStyle w:val="Headerorfooter1"/>
                          </w:pPr>
                          <w:r>
                            <w:t>・</w:t>
                          </w:r>
                          <w:r>
                            <w:fldChar w:fldCharType="begin"/>
                          </w:r>
                          <w:r>
                            <w:instrText xml:space="preserve"> PAGE \* MERGEFORMAT </w:instrText>
                          </w:r>
                          <w:r>
                            <w:fldChar w:fldCharType="separate"/>
                          </w:r>
                          <w:r>
                            <w:t>#</w:t>
                          </w:r>
                          <w:r>
                            <w:fldChar w:fldCharType="end"/>
                          </w:r>
                          <w:r>
                            <w:t>・</w:t>
                          </w:r>
                        </w:p>
                      </w:txbxContent>
                    </wps:txbx>
                    <wps:bodyPr wrap="none" lIns="0" tIns="0" rIns="0" bIns="0">
                      <a:spAutoFit/>
                    </wps:bodyPr>
                  </wps:wsp>
                </a:graphicData>
              </a:graphic>
            </wp:anchor>
          </w:drawing>
        </mc:Choice>
        <mc:Fallback xmlns:wpsCustomData="http://www.wps.cn/officeDocument/2013/wpsCustomData" xmlns:w15="http://schemas.microsoft.com/office/word/2012/wordml">
          <w:pict>
            <v:shape id="Shape 43" o:spid="_x0000_s1026" o:spt="202" type="#_x0000_t202" style="position:absolute;left:0pt;margin-left:224.55pt;margin-top:692.9pt;height:7.45pt;width:27.35pt;mso-position-horizontal-relative:page;mso-position-vertical-relative:page;mso-wrap-style:none;z-index:-251657216;mso-width-relative:page;mso-height-relative:page;" filled="f" stroked="f" coordsize="21600,21600" o:gfxdata="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q80PzY&#10;AAAADQEAAA8AAAAAAAAAAQAgAAAAIgAAAGRycy9kb3ducmV2LnhtbFBLAQIUABQAAAAIAIdO4kCy&#10;UwoFrgEAAHADAAAOAAAAAAAAAAEAIAAAACcBAABkcnMvZTJvRG9jLnhtbFBLBQYAAAAABgAGAFkB&#10;AABHBQAAAAA=&#10;">
              <v:fill on="f" focussize="0,0"/>
              <v:stroke on="f"/>
              <v:imagedata o:title=""/>
              <o:lock v:ext="edit" aspectratio="f"/>
              <v:textbox inset="0mm,0mm,0mm,0mm" style="mso-fit-shape-to-text:t;">
                <w:txbxContent>
                  <w:p>
                    <w:pPr>
                      <w:pStyle w:val="6"/>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r>
                      <w:fldChar w:fldCharType="begin"/>
                    </w:r>
                    <w:r>
                      <w:instrText xml:space="preserve"> PAGE \* MERGEFORMAT </w:instrText>
                    </w:r>
                    <w:r>
                      <w:fldChar w:fldCharType="separate"/>
                    </w:r>
                    <w:r>
                      <w:rPr>
                        <w:color w:val="000000"/>
                        <w:spacing w:val="0"/>
                        <w:w w:val="100"/>
                        <w:position w:val="0"/>
                      </w:rPr>
                      <w:t>#</w:t>
                    </w:r>
                    <w:r>
                      <w:rPr>
                        <w:color w:val="000000"/>
                        <w:spacing w:val="0"/>
                        <w:w w:val="100"/>
                        <w:position w:val="0"/>
                      </w:rPr>
                      <w:fldChar w:fldCharType="end"/>
                    </w:r>
                    <w:r>
                      <w:rPr>
                        <w:color w:val="000000"/>
                        <w:spacing w:val="0"/>
                        <w:w w:val="100"/>
                        <w:position w:val="0"/>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ACD" w:rsidRDefault="00266C09">
    <w:pPr>
      <w:spacing w:line="1" w:lineRule="exact"/>
    </w:pPr>
    <w:r>
      <w:rPr>
        <w:noProof/>
        <w:lang w:eastAsia="zh-CN" w:bidi="ar-SA"/>
      </w:rPr>
      <mc:AlternateContent>
        <mc:Choice Requires="wps">
          <w:drawing>
            <wp:anchor distT="0" distB="0" distL="0" distR="0" simplePos="0" relativeHeight="251655168" behindDoc="1" locked="0" layoutInCell="1" allowOverlap="1">
              <wp:simplePos x="0" y="0"/>
              <wp:positionH relativeFrom="page">
                <wp:posOffset>2851785</wp:posOffset>
              </wp:positionH>
              <wp:positionV relativeFrom="page">
                <wp:posOffset>8799830</wp:posOffset>
              </wp:positionV>
              <wp:extent cx="347345" cy="94615"/>
              <wp:effectExtent l="0" t="0" r="0" b="0"/>
              <wp:wrapNone/>
              <wp:docPr id="41" name="Shape 41"/>
              <wp:cNvGraphicFramePr/>
              <a:graphic xmlns:a="http://schemas.openxmlformats.org/drawingml/2006/main">
                <a:graphicData uri="http://schemas.microsoft.com/office/word/2010/wordprocessingShape">
                  <wps:wsp>
                    <wps:cNvSpPr txBox="1"/>
                    <wps:spPr>
                      <a:xfrm>
                        <a:off x="0" y="0"/>
                        <a:ext cx="347345" cy="94615"/>
                      </a:xfrm>
                      <a:prstGeom prst="rect">
                        <a:avLst/>
                      </a:prstGeom>
                      <a:noFill/>
                    </wps:spPr>
                    <wps:txbx>
                      <w:txbxContent>
                        <w:p w:rsidR="00245ACD" w:rsidRDefault="00266C09">
                          <w:pPr>
                            <w:pStyle w:val="Headerorfooter1"/>
                          </w:pPr>
                          <w:r>
                            <w:t>・</w:t>
                          </w:r>
                          <w:r>
                            <w:fldChar w:fldCharType="begin"/>
                          </w:r>
                          <w:r>
                            <w:instrText xml:space="preserve"> PAGE \* MERGEFORMAT </w:instrText>
                          </w:r>
                          <w:r>
                            <w:fldChar w:fldCharType="separate"/>
                          </w:r>
                          <w:r w:rsidR="00AE46C6">
                            <w:rPr>
                              <w:noProof/>
                            </w:rPr>
                            <w:t>54</w:t>
                          </w:r>
                          <w:r>
                            <w:fldChar w:fldCharType="end"/>
                          </w:r>
                          <w: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1" o:spid="_x0000_s1027" type="#_x0000_t202" style="position:absolute;margin-left:224.55pt;margin-top:692.9pt;width:27.35pt;height:7.45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" filled="f" stroked="f">
              <v:textbox style="mso-fit-shape-to-text:t" inset="0,0,0,0">
                <w:txbxContent>
                  <w:p w:rsidR="00245ACD" w:rsidRDefault="00266C09">
                    <w:pPr>
                      <w:pStyle w:val="Headerorfooter1"/>
                    </w:pPr>
                    <w:r>
                      <w:t>・</w:t>
                    </w:r>
                    <w:r>
                      <w:fldChar w:fldCharType="begin"/>
                    </w:r>
                    <w:r>
                      <w:instrText xml:space="preserve"> PAGE \* MERGEFORMAT </w:instrText>
                    </w:r>
                    <w:r>
                      <w:fldChar w:fldCharType="separate"/>
                    </w:r>
                    <w:r w:rsidR="00AE46C6">
                      <w:rPr>
                        <w:noProof/>
                      </w:rPr>
                      <w:t>54</w:t>
                    </w:r>
                    <w:r>
                      <w:fldChar w:fldCharType="end"/>
                    </w:r>
                    <w:r>
                      <w:t>・</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ACD" w:rsidRDefault="00266C09">
    <w:pPr>
      <w:spacing w:line="1" w:lineRule="exact"/>
    </w:pPr>
    <w:r>
      <w:rPr>
        <w:noProof/>
        <w:lang w:eastAsia="zh-CN" w:bidi="ar-SA"/>
      </w:rPr>
      <mc:AlternateContent>
        <mc:Choice Requires="wps">
          <w:drawing>
            <wp:anchor distT="0" distB="0" distL="0" distR="0" simplePos="0" relativeHeight="251656192" behindDoc="1" locked="0" layoutInCell="1" allowOverlap="1">
              <wp:simplePos x="0" y="0"/>
              <wp:positionH relativeFrom="page">
                <wp:posOffset>2851785</wp:posOffset>
              </wp:positionH>
              <wp:positionV relativeFrom="page">
                <wp:posOffset>8816975</wp:posOffset>
              </wp:positionV>
              <wp:extent cx="350520" cy="97790"/>
              <wp:effectExtent l="0" t="0" r="0" b="0"/>
              <wp:wrapNone/>
              <wp:docPr id="45" name="Shape 45"/>
              <wp:cNvGraphicFramePr/>
              <a:graphic xmlns:a="http://schemas.openxmlformats.org/drawingml/2006/main">
                <a:graphicData uri="http://schemas.microsoft.com/office/word/2010/wordprocessingShape">
                  <wps:wsp>
                    <wps:cNvSpPr txBox="1"/>
                    <wps:spPr>
                      <a:xfrm>
                        <a:off x="0" y="0"/>
                        <a:ext cx="350520" cy="97790"/>
                      </a:xfrm>
                      <a:prstGeom prst="rect">
                        <a:avLst/>
                      </a:prstGeom>
                      <a:noFill/>
                    </wps:spPr>
                    <wps:txbx>
                      <w:txbxContent>
                        <w:p w:rsidR="00245ACD" w:rsidRDefault="00266C09">
                          <w:pPr>
                            <w:pStyle w:val="Headerorfooter2"/>
                          </w:pPr>
                          <w:r>
                            <w:rPr>
                              <w:rFonts w:ascii="宋体" w:eastAsia="宋体" w:hAnsi="宋体" w:cs="宋体"/>
                            </w:rPr>
                            <w:t xml:space="preserve">. </w:t>
                          </w:r>
                          <w:r>
                            <w:fldChar w:fldCharType="begin"/>
                          </w:r>
                          <w:r>
                            <w:instrText xml:space="preserve"> PAGE \* MERGEFORMAT </w:instrText>
                          </w:r>
                          <w:r>
                            <w:fldChar w:fldCharType="separate"/>
                          </w:r>
                          <w:r w:rsidR="00AE46C6" w:rsidRPr="00AE46C6">
                            <w:rPr>
                              <w:rFonts w:ascii="宋体" w:eastAsia="宋体" w:hAnsi="宋体" w:cs="宋体"/>
                              <w:noProof/>
                              <w:lang w:val="zh-TW" w:eastAsia="zh-TW" w:bidi="zh-TW"/>
                            </w:rPr>
                            <w:t>51</w:t>
                          </w:r>
                          <w:r>
                            <w:rPr>
                              <w:rFonts w:ascii="宋体" w:eastAsia="宋体" w:hAnsi="宋体" w:cs="宋体"/>
                              <w:lang w:val="zh-TW" w:eastAsia="zh-TW" w:bidi="zh-TW"/>
                            </w:rPr>
                            <w:fldChar w:fldCharType="end"/>
                          </w:r>
                          <w:r>
                            <w:rPr>
                              <w:rFonts w:ascii="宋体" w:eastAsia="宋体" w:hAnsi="宋体" w:cs="宋体"/>
                              <w:lang w:val="zh-TW" w:eastAsia="zh-TW" w:bidi="zh-TW"/>
                            </w:rPr>
                            <w:t xml:space="preserve"> </w:t>
                          </w:r>
                          <w:r>
                            <w:rPr>
                              <w:rFonts w:ascii="宋体" w:eastAsia="宋体" w:hAnsi="宋体" w:cs="宋体"/>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5" o:spid="_x0000_s1028" type="#_x0000_t202" style="position:absolute;margin-left:224.55pt;margin-top:694.25pt;width:27.6pt;height:7.7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" filled="f" stroked="f">
              <v:textbox style="mso-fit-shape-to-text:t" inset="0,0,0,0">
                <w:txbxContent>
                  <w:p w:rsidR="00245ACD" w:rsidRDefault="00266C09">
                    <w:pPr>
                      <w:pStyle w:val="Headerorfooter2"/>
                    </w:pPr>
                    <w:r>
                      <w:rPr>
                        <w:rFonts w:ascii="宋体" w:eastAsia="宋体" w:hAnsi="宋体" w:cs="宋体"/>
                      </w:rPr>
                      <w:t xml:space="preserve">. </w:t>
                    </w:r>
                    <w:r>
                      <w:fldChar w:fldCharType="begin"/>
                    </w:r>
                    <w:r>
                      <w:instrText xml:space="preserve"> PAGE \* MERGEFORMAT </w:instrText>
                    </w:r>
                    <w:r>
                      <w:fldChar w:fldCharType="separate"/>
                    </w:r>
                    <w:r w:rsidR="00AE46C6" w:rsidRPr="00AE46C6">
                      <w:rPr>
                        <w:rFonts w:ascii="宋体" w:eastAsia="宋体" w:hAnsi="宋体" w:cs="宋体"/>
                        <w:noProof/>
                        <w:lang w:val="zh-TW" w:eastAsia="zh-TW" w:bidi="zh-TW"/>
                      </w:rPr>
                      <w:t>51</w:t>
                    </w:r>
                    <w:r>
                      <w:rPr>
                        <w:rFonts w:ascii="宋体" w:eastAsia="宋体" w:hAnsi="宋体" w:cs="宋体"/>
                        <w:lang w:val="zh-TW" w:eastAsia="zh-TW" w:bidi="zh-TW"/>
                      </w:rPr>
                      <w:fldChar w:fldCharType="end"/>
                    </w:r>
                    <w:r>
                      <w:rPr>
                        <w:rFonts w:ascii="宋体" w:eastAsia="宋体" w:hAnsi="宋体" w:cs="宋体"/>
                        <w:lang w:val="zh-TW" w:eastAsia="zh-TW" w:bidi="zh-TW"/>
                      </w:rPr>
                      <w:t xml:space="preserve"> </w:t>
                    </w:r>
                    <w:r>
                      <w:rPr>
                        <w:rFonts w:ascii="宋体" w:eastAsia="宋体" w:hAnsi="宋体" w:cs="宋体"/>
                      </w:rPr>
                      <w:t>.</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ACD" w:rsidRDefault="00266C09">
    <w:pPr>
      <w:spacing w:line="1" w:lineRule="exact"/>
    </w:pPr>
    <w:r>
      <w:rPr>
        <w:noProof/>
        <w:lang w:eastAsia="zh-CN" w:bidi="ar-SA"/>
      </w:rPr>
      <mc:AlternateContent>
        <mc:Choice Requires="wps">
          <w:drawing>
            <wp:anchor distT="0" distB="0" distL="0" distR="0" simplePos="0" relativeHeight="251657216" behindDoc="1" locked="0" layoutInCell="1" allowOverlap="1">
              <wp:simplePos x="0" y="0"/>
              <wp:positionH relativeFrom="page">
                <wp:posOffset>2851785</wp:posOffset>
              </wp:positionH>
              <wp:positionV relativeFrom="page">
                <wp:posOffset>8799830</wp:posOffset>
              </wp:positionV>
              <wp:extent cx="347345" cy="94615"/>
              <wp:effectExtent l="0" t="0" r="0" b="0"/>
              <wp:wrapNone/>
              <wp:docPr id="49" name="Shape 49"/>
              <wp:cNvGraphicFramePr/>
              <a:graphic xmlns:a="http://schemas.openxmlformats.org/drawingml/2006/main">
                <a:graphicData uri="http://schemas.microsoft.com/office/word/2010/wordprocessingShape">
                  <wps:wsp>
                    <wps:cNvSpPr txBox="1"/>
                    <wps:spPr>
                      <a:xfrm>
                        <a:off x="0" y="0"/>
                        <a:ext cx="347345" cy="94615"/>
                      </a:xfrm>
                      <a:prstGeom prst="rect">
                        <a:avLst/>
                      </a:prstGeom>
                      <a:noFill/>
                    </wps:spPr>
                    <wps:txbx>
                      <w:txbxContent>
                        <w:p w:rsidR="00245ACD" w:rsidRDefault="00266C09">
                          <w:pPr>
                            <w:pStyle w:val="Headerorfooter1"/>
                          </w:pPr>
                          <w:r>
                            <w:t>・</w:t>
                          </w:r>
                          <w:r>
                            <w:fldChar w:fldCharType="begin"/>
                          </w:r>
                          <w:r>
                            <w:instrText xml:space="preserve"> PAGE \* MERGEFORMAT </w:instrText>
                          </w:r>
                          <w:r>
                            <w:fldChar w:fldCharType="separate"/>
                          </w:r>
                          <w:r>
                            <w:t>#</w:t>
                          </w:r>
                          <w:r>
                            <w:fldChar w:fldCharType="end"/>
                          </w:r>
                          <w:r>
                            <w:t>・</w:t>
                          </w:r>
                        </w:p>
                      </w:txbxContent>
                    </wps:txbx>
                    <wps:bodyPr wrap="none" lIns="0" tIns="0" rIns="0" bIns="0">
                      <a:spAutoFit/>
                    </wps:bodyPr>
                  </wps:wsp>
                </a:graphicData>
              </a:graphic>
            </wp:anchor>
          </w:drawing>
        </mc:Choice>
        <mc:Fallback xmlns:wpsCustomData="http://www.wps.cn/officeDocument/2013/wpsCustomData" xmlns:w15="http://schemas.microsoft.com/office/word/2012/wordml">
          <w:pict>
            <v:shape id="Shape 49" o:spid="_x0000_s1026" o:spt="202" type="#_x0000_t202" style="position:absolute;left:0pt;margin-left:224.55pt;margin-top:692.9pt;height:7.45pt;width:27.35pt;mso-position-horizontal-relative:page;mso-position-vertical-relative:page;mso-wrap-style:none;z-index:-251657216;mso-width-relative:page;mso-height-relative:page;" filled="f" stroked="f" coordsize="21600,21600" o:gfxdata="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q80PzY&#10;AAAADQEAAA8AAAAAAAAAAQAgAAAAIgAAAGRycy9kb3ducmV2LnhtbFBLAQIUABQAAAAIAIdO4kAg&#10;+HdBrgEAAHADAAAOAAAAAAAAAAEAIAAAACcBAABkcnMvZTJvRG9jLnhtbFBLBQYAAAAABgAGAFkB&#10;AABHBQAAAAA=&#10;">
              <v:fill on="f" focussize="0,0"/>
              <v:stroke on="f"/>
              <v:imagedata o:title=""/>
              <o:lock v:ext="edit" aspectratio="f"/>
              <v:textbox inset="0mm,0mm,0mm,0mm" style="mso-fit-shape-to-text:t;">
                <w:txbxContent>
                  <w:p>
                    <w:pPr>
                      <w:pStyle w:val="6"/>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r>
                      <w:fldChar w:fldCharType="begin"/>
                    </w:r>
                    <w:r>
                      <w:instrText xml:space="preserve"> PAGE \* MERGEFORMAT </w:instrText>
                    </w:r>
                    <w:r>
                      <w:fldChar w:fldCharType="separate"/>
                    </w:r>
                    <w:r>
                      <w:rPr>
                        <w:color w:val="000000"/>
                        <w:spacing w:val="0"/>
                        <w:w w:val="100"/>
                        <w:position w:val="0"/>
                      </w:rPr>
                      <w:t>#</w:t>
                    </w:r>
                    <w:r>
                      <w:rPr>
                        <w:color w:val="000000"/>
                        <w:spacing w:val="0"/>
                        <w:w w:val="100"/>
                        <w:position w:val="0"/>
                      </w:rPr>
                      <w:fldChar w:fldCharType="end"/>
                    </w:r>
                    <w:r>
                      <w:rPr>
                        <w:color w:val="000000"/>
                        <w:spacing w:val="0"/>
                        <w:w w:val="100"/>
                        <w:position w:val="0"/>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ACD" w:rsidRDefault="00266C09">
    <w:pPr>
      <w:spacing w:line="1" w:lineRule="exact"/>
    </w:pPr>
    <w:r>
      <w:rPr>
        <w:noProof/>
        <w:lang w:eastAsia="zh-CN" w:bidi="ar-SA"/>
      </w:rPr>
      <mc:AlternateContent>
        <mc:Choice Requires="wps">
          <w:drawing>
            <wp:anchor distT="0" distB="0" distL="0" distR="0" simplePos="0" relativeHeight="251658240" behindDoc="1" locked="0" layoutInCell="1" allowOverlap="1">
              <wp:simplePos x="0" y="0"/>
              <wp:positionH relativeFrom="page">
                <wp:posOffset>2851785</wp:posOffset>
              </wp:positionH>
              <wp:positionV relativeFrom="page">
                <wp:posOffset>8816975</wp:posOffset>
              </wp:positionV>
              <wp:extent cx="350520" cy="97790"/>
              <wp:effectExtent l="0" t="0" r="0" b="0"/>
              <wp:wrapNone/>
              <wp:docPr id="47" name="Shape 47"/>
              <wp:cNvGraphicFramePr/>
              <a:graphic xmlns:a="http://schemas.openxmlformats.org/drawingml/2006/main">
                <a:graphicData uri="http://schemas.microsoft.com/office/word/2010/wordprocessingShape">
                  <wps:wsp>
                    <wps:cNvSpPr txBox="1"/>
                    <wps:spPr>
                      <a:xfrm>
                        <a:off x="0" y="0"/>
                        <a:ext cx="350520" cy="97790"/>
                      </a:xfrm>
                      <a:prstGeom prst="rect">
                        <a:avLst/>
                      </a:prstGeom>
                      <a:noFill/>
                    </wps:spPr>
                    <wps:txbx>
                      <w:txbxContent>
                        <w:p w:rsidR="00245ACD" w:rsidRDefault="00266C09">
                          <w:pPr>
                            <w:pStyle w:val="Headerorfooter2"/>
                          </w:pPr>
                          <w:r>
                            <w:rPr>
                              <w:rFonts w:ascii="宋体" w:eastAsia="宋体" w:hAnsi="宋体" w:cs="宋体"/>
                            </w:rPr>
                            <w:t xml:space="preserve">. </w:t>
                          </w:r>
                          <w:r>
                            <w:fldChar w:fldCharType="begin"/>
                          </w:r>
                          <w:r>
                            <w:instrText xml:space="preserve"> PAGE \* MERGEFORMAT </w:instrText>
                          </w:r>
                          <w:r>
                            <w:fldChar w:fldCharType="separate"/>
                          </w:r>
                          <w:r w:rsidR="00AE46C6" w:rsidRPr="00AE46C6">
                            <w:rPr>
                              <w:rFonts w:ascii="宋体" w:eastAsia="宋体" w:hAnsi="宋体" w:cs="宋体"/>
                              <w:noProof/>
                              <w:lang w:val="zh-TW" w:eastAsia="zh-TW" w:bidi="zh-TW"/>
                            </w:rPr>
                            <w:t>57</w:t>
                          </w:r>
                          <w:r>
                            <w:rPr>
                              <w:rFonts w:ascii="宋体" w:eastAsia="宋体" w:hAnsi="宋体" w:cs="宋体"/>
                              <w:lang w:val="zh-TW" w:eastAsia="zh-TW" w:bidi="zh-TW"/>
                            </w:rPr>
                            <w:fldChar w:fldCharType="end"/>
                          </w:r>
                          <w:r>
                            <w:rPr>
                              <w:rFonts w:ascii="宋体" w:eastAsia="宋体" w:hAnsi="宋体" w:cs="宋体"/>
                              <w:lang w:val="zh-TW" w:eastAsia="zh-TW" w:bidi="zh-TW"/>
                            </w:rPr>
                            <w:t xml:space="preserve"> </w:t>
                          </w:r>
                          <w:r>
                            <w:rPr>
                              <w:rFonts w:ascii="宋体" w:eastAsia="宋体" w:hAnsi="宋体" w:cs="宋体"/>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7" o:spid="_x0000_s1030" type="#_x0000_t202" style="position:absolute;margin-left:224.55pt;margin-top:694.25pt;width:27.6pt;height:7.7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" filled="f" stroked="f">
              <v:textbox style="mso-fit-shape-to-text:t" inset="0,0,0,0">
                <w:txbxContent>
                  <w:p w:rsidR="00245ACD" w:rsidRDefault="00266C09">
                    <w:pPr>
                      <w:pStyle w:val="Headerorfooter2"/>
                    </w:pPr>
                    <w:r>
                      <w:rPr>
                        <w:rFonts w:ascii="宋体" w:eastAsia="宋体" w:hAnsi="宋体" w:cs="宋体"/>
                      </w:rPr>
                      <w:t xml:space="preserve">. </w:t>
                    </w:r>
                    <w:r>
                      <w:fldChar w:fldCharType="begin"/>
                    </w:r>
                    <w:r>
                      <w:instrText xml:space="preserve"> PAGE \* MERGEFORMAT </w:instrText>
                    </w:r>
                    <w:r>
                      <w:fldChar w:fldCharType="separate"/>
                    </w:r>
                    <w:r w:rsidR="00AE46C6" w:rsidRPr="00AE46C6">
                      <w:rPr>
                        <w:rFonts w:ascii="宋体" w:eastAsia="宋体" w:hAnsi="宋体" w:cs="宋体"/>
                        <w:noProof/>
                        <w:lang w:val="zh-TW" w:eastAsia="zh-TW" w:bidi="zh-TW"/>
                      </w:rPr>
                      <w:t>57</w:t>
                    </w:r>
                    <w:r>
                      <w:rPr>
                        <w:rFonts w:ascii="宋体" w:eastAsia="宋体" w:hAnsi="宋体" w:cs="宋体"/>
                        <w:lang w:val="zh-TW" w:eastAsia="zh-TW" w:bidi="zh-TW"/>
                      </w:rPr>
                      <w:fldChar w:fldCharType="end"/>
                    </w:r>
                    <w:r>
                      <w:rPr>
                        <w:rFonts w:ascii="宋体" w:eastAsia="宋体" w:hAnsi="宋体" w:cs="宋体"/>
                        <w:lang w:val="zh-TW" w:eastAsia="zh-TW" w:bidi="zh-TW"/>
                      </w:rPr>
                      <w:t xml:space="preserve"> </w:t>
                    </w:r>
                    <w:r>
                      <w:rPr>
                        <w:rFonts w:ascii="宋体" w:eastAsia="宋体" w:hAnsi="宋体" w:cs="宋体"/>
                      </w:rPr>
                      <w:t>.</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ACD" w:rsidRDefault="00266C09">
    <w:pPr>
      <w:spacing w:line="1" w:lineRule="exact"/>
    </w:pPr>
    <w:r>
      <w:rPr>
        <w:noProof/>
        <w:lang w:eastAsia="zh-CN" w:bidi="ar-SA"/>
      </w:rPr>
      <mc:AlternateContent>
        <mc:Choice Requires="wps">
          <w:drawing>
            <wp:anchor distT="0" distB="0" distL="0" distR="0" simplePos="0" relativeHeight="251659264" behindDoc="1" locked="0" layoutInCell="1" allowOverlap="1">
              <wp:simplePos x="0" y="0"/>
              <wp:positionH relativeFrom="page">
                <wp:posOffset>2851785</wp:posOffset>
              </wp:positionH>
              <wp:positionV relativeFrom="page">
                <wp:posOffset>8799830</wp:posOffset>
              </wp:positionV>
              <wp:extent cx="347345" cy="94615"/>
              <wp:effectExtent l="0" t="0" r="0" b="0"/>
              <wp:wrapNone/>
              <wp:docPr id="53" name="Shape 53"/>
              <wp:cNvGraphicFramePr/>
              <a:graphic xmlns:a="http://schemas.openxmlformats.org/drawingml/2006/main">
                <a:graphicData uri="http://schemas.microsoft.com/office/word/2010/wordprocessingShape">
                  <wps:wsp>
                    <wps:cNvSpPr txBox="1"/>
                    <wps:spPr>
                      <a:xfrm>
                        <a:off x="0" y="0"/>
                        <a:ext cx="347345" cy="94615"/>
                      </a:xfrm>
                      <a:prstGeom prst="rect">
                        <a:avLst/>
                      </a:prstGeom>
                      <a:noFill/>
                    </wps:spPr>
                    <wps:txbx>
                      <w:txbxContent>
                        <w:p w:rsidR="00245ACD" w:rsidRDefault="00266C09">
                          <w:pPr>
                            <w:pStyle w:val="Headerorfooter1"/>
                          </w:pPr>
                          <w:r>
                            <w:t>・</w:t>
                          </w:r>
                          <w:r>
                            <w:fldChar w:fldCharType="begin"/>
                          </w:r>
                          <w:r>
                            <w:instrText xml:space="preserve"> PAGE \* MERGEFORMAT </w:instrText>
                          </w:r>
                          <w:r>
                            <w:fldChar w:fldCharType="separate"/>
                          </w:r>
                          <w:r>
                            <w:t>#</w:t>
                          </w:r>
                          <w:r>
                            <w:fldChar w:fldCharType="end"/>
                          </w:r>
                          <w:r>
                            <w:t>・</w:t>
                          </w:r>
                        </w:p>
                      </w:txbxContent>
                    </wps:txbx>
                    <wps:bodyPr wrap="none" lIns="0" tIns="0" rIns="0" bIns="0">
                      <a:spAutoFit/>
                    </wps:bodyPr>
                  </wps:wsp>
                </a:graphicData>
              </a:graphic>
            </wp:anchor>
          </w:drawing>
        </mc:Choice>
        <mc:Fallback xmlns:wpsCustomData="http://www.wps.cn/officeDocument/2013/wpsCustomData" xmlns:w15="http://schemas.microsoft.com/office/word/2012/wordml">
          <w:pict>
            <v:shape id="Shape 53" o:spid="_x0000_s1026" o:spt="202" type="#_x0000_t202" style="position:absolute;left:0pt;margin-left:224.55pt;margin-top:692.9pt;height:7.45pt;width:27.35pt;mso-position-horizontal-relative:page;mso-position-vertical-relative:page;mso-wrap-style:none;z-index:-251657216;mso-width-relative:page;mso-height-relative:page;" filled="f" stroked="f" coordsize="21600,21600" o:gfxdata="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q80PzY&#10;AAAADQEAAA8AAAAAAAAAAQAgAAAAIgAAAGRycy9kb3ducmV2LnhtbFBLAQIUABQAAAAIAIdO4kAy&#10;E2hdrgEAAHADAAAOAAAAAAAAAAEAIAAAACcBAABkcnMvZTJvRG9jLnhtbFBLBQYAAAAABgAGAFkB&#10;AABHBQAAAAA=&#10;">
              <v:fill on="f" focussize="0,0"/>
              <v:stroke on="f"/>
              <v:imagedata o:title=""/>
              <o:lock v:ext="edit" aspectratio="f"/>
              <v:textbox inset="0mm,0mm,0mm,0mm" style="mso-fit-shape-to-text:t;">
                <w:txbxContent>
                  <w:p>
                    <w:pPr>
                      <w:pStyle w:val="6"/>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r>
                      <w:fldChar w:fldCharType="begin"/>
                    </w:r>
                    <w:r>
                      <w:instrText xml:space="preserve"> PAGE \* MERGEFORMAT </w:instrText>
                    </w:r>
                    <w:r>
                      <w:fldChar w:fldCharType="separate"/>
                    </w:r>
                    <w:r>
                      <w:rPr>
                        <w:color w:val="000000"/>
                        <w:spacing w:val="0"/>
                        <w:w w:val="100"/>
                        <w:position w:val="0"/>
                      </w:rPr>
                      <w:t>#</w:t>
                    </w:r>
                    <w:r>
                      <w:rPr>
                        <w:color w:val="000000"/>
                        <w:spacing w:val="0"/>
                        <w:w w:val="100"/>
                        <w:position w:val="0"/>
                      </w:rPr>
                      <w:fldChar w:fldCharType="end"/>
                    </w:r>
                    <w:r>
                      <w:rPr>
                        <w:color w:val="000000"/>
                        <w:spacing w:val="0"/>
                        <w:w w:val="100"/>
                        <w:position w:val="0"/>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ACD" w:rsidRDefault="00266C09">
    <w:pPr>
      <w:spacing w:line="1" w:lineRule="exact"/>
    </w:pPr>
    <w:r>
      <w:rPr>
        <w:noProof/>
        <w:lang w:eastAsia="zh-CN" w:bidi="ar-SA"/>
      </w:rPr>
      <mc:AlternateContent>
        <mc:Choice Requires="wps">
          <w:drawing>
            <wp:anchor distT="0" distB="0" distL="0" distR="0" simplePos="0" relativeHeight="251660288" behindDoc="1" locked="0" layoutInCell="1" allowOverlap="1">
              <wp:simplePos x="0" y="0"/>
              <wp:positionH relativeFrom="page">
                <wp:posOffset>2851785</wp:posOffset>
              </wp:positionH>
              <wp:positionV relativeFrom="page">
                <wp:posOffset>8799830</wp:posOffset>
              </wp:positionV>
              <wp:extent cx="347345" cy="94615"/>
              <wp:effectExtent l="0" t="0" r="0" b="0"/>
              <wp:wrapNone/>
              <wp:docPr id="51" name="Shape 51"/>
              <wp:cNvGraphicFramePr/>
              <a:graphic xmlns:a="http://schemas.openxmlformats.org/drawingml/2006/main">
                <a:graphicData uri="http://schemas.microsoft.com/office/word/2010/wordprocessingShape">
                  <wps:wsp>
                    <wps:cNvSpPr txBox="1"/>
                    <wps:spPr>
                      <a:xfrm>
                        <a:off x="0" y="0"/>
                        <a:ext cx="347345" cy="94615"/>
                      </a:xfrm>
                      <a:prstGeom prst="rect">
                        <a:avLst/>
                      </a:prstGeom>
                      <a:noFill/>
                    </wps:spPr>
                    <wps:txbx>
                      <w:txbxContent>
                        <w:p w:rsidR="00245ACD" w:rsidRDefault="00266C09">
                          <w:pPr>
                            <w:pStyle w:val="Headerorfooter1"/>
                          </w:pPr>
                          <w:r>
                            <w:t>・</w:t>
                          </w:r>
                          <w:r>
                            <w:fldChar w:fldCharType="begin"/>
                          </w:r>
                          <w:r>
                            <w:instrText xml:space="preserve"> PAGE \* MERGEFORMAT </w:instrText>
                          </w:r>
                          <w:r>
                            <w:fldChar w:fldCharType="separate"/>
                          </w:r>
                          <w:r w:rsidR="00AE46C6">
                            <w:rPr>
                              <w:noProof/>
                            </w:rPr>
                            <w:t>60</w:t>
                          </w:r>
                          <w:r>
                            <w:fldChar w:fldCharType="end"/>
                          </w:r>
                          <w: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1" o:spid="_x0000_s1032" type="#_x0000_t202" style="position:absolute;margin-left:224.55pt;margin-top:692.9pt;width:27.35pt;height:7.4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" filled="f" stroked="f">
              <v:textbox style="mso-fit-shape-to-text:t" inset="0,0,0,0">
                <w:txbxContent>
                  <w:p w:rsidR="00245ACD" w:rsidRDefault="00266C09">
                    <w:pPr>
                      <w:pStyle w:val="Headerorfooter1"/>
                    </w:pPr>
                    <w:r>
                      <w:t>・</w:t>
                    </w:r>
                    <w:r>
                      <w:fldChar w:fldCharType="begin"/>
                    </w:r>
                    <w:r>
                      <w:instrText xml:space="preserve"> PAGE \* MERGEFORMAT </w:instrText>
                    </w:r>
                    <w:r>
                      <w:fldChar w:fldCharType="separate"/>
                    </w:r>
                    <w:r w:rsidR="00AE46C6">
                      <w:rPr>
                        <w:noProof/>
                      </w:rPr>
                      <w:t>60</w:t>
                    </w:r>
                    <w:r>
                      <w:fldChar w:fldCharType="end"/>
                    </w:r>
                    <w:r>
                      <w:t>・</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ACD" w:rsidRDefault="00266C09">
    <w:pPr>
      <w:spacing w:line="1" w:lineRule="exact"/>
    </w:pPr>
    <w:r>
      <w:rPr>
        <w:noProof/>
        <w:lang w:eastAsia="zh-CN" w:bidi="ar-SA"/>
      </w:rPr>
      <mc:AlternateContent>
        <mc:Choice Requires="wps">
          <w:drawing>
            <wp:anchor distT="0" distB="0" distL="0" distR="0" simplePos="0" relativeHeight="251661312" behindDoc="1" locked="0" layoutInCell="1" allowOverlap="1">
              <wp:simplePos x="0" y="0"/>
              <wp:positionH relativeFrom="page">
                <wp:posOffset>2851785</wp:posOffset>
              </wp:positionH>
              <wp:positionV relativeFrom="page">
                <wp:posOffset>8816975</wp:posOffset>
              </wp:positionV>
              <wp:extent cx="350520" cy="97790"/>
              <wp:effectExtent l="0" t="0" r="0" b="0"/>
              <wp:wrapNone/>
              <wp:docPr id="55" name="Shape 55"/>
              <wp:cNvGraphicFramePr/>
              <a:graphic xmlns:a="http://schemas.openxmlformats.org/drawingml/2006/main">
                <a:graphicData uri="http://schemas.microsoft.com/office/word/2010/wordprocessingShape">
                  <wps:wsp>
                    <wps:cNvSpPr txBox="1"/>
                    <wps:spPr>
                      <a:xfrm>
                        <a:off x="0" y="0"/>
                        <a:ext cx="350520" cy="97790"/>
                      </a:xfrm>
                      <a:prstGeom prst="rect">
                        <a:avLst/>
                      </a:prstGeom>
                      <a:noFill/>
                    </wps:spPr>
                    <wps:txbx>
                      <w:txbxContent>
                        <w:p w:rsidR="00245ACD" w:rsidRDefault="00266C09">
                          <w:pPr>
                            <w:pStyle w:val="Headerorfooter2"/>
                          </w:pPr>
                          <w:r>
                            <w:rPr>
                              <w:rFonts w:ascii="宋体" w:eastAsia="宋体" w:hAnsi="宋体" w:cs="宋体"/>
                            </w:rPr>
                            <w:t xml:space="preserve">. </w:t>
                          </w:r>
                          <w:r>
                            <w:fldChar w:fldCharType="begin"/>
                          </w:r>
                          <w:r>
                            <w:instrText xml:space="preserve"> PAGE \* MERGEFORMAT </w:instrText>
                          </w:r>
                          <w:r>
                            <w:fldChar w:fldCharType="separate"/>
                          </w:r>
                          <w:r w:rsidR="00AE46C6" w:rsidRPr="00AE46C6">
                            <w:rPr>
                              <w:rFonts w:ascii="宋体" w:eastAsia="宋体" w:hAnsi="宋体" w:cs="宋体"/>
                              <w:noProof/>
                              <w:lang w:val="zh-TW" w:eastAsia="zh-TW" w:bidi="zh-TW"/>
                            </w:rPr>
                            <w:t>58</w:t>
                          </w:r>
                          <w:r>
                            <w:rPr>
                              <w:rFonts w:ascii="宋体" w:eastAsia="宋体" w:hAnsi="宋体" w:cs="宋体"/>
                              <w:lang w:val="zh-TW" w:eastAsia="zh-TW" w:bidi="zh-TW"/>
                            </w:rPr>
                            <w:fldChar w:fldCharType="end"/>
                          </w:r>
                          <w:r>
                            <w:rPr>
                              <w:rFonts w:ascii="宋体" w:eastAsia="宋体" w:hAnsi="宋体" w:cs="宋体"/>
                              <w:lang w:val="zh-TW" w:eastAsia="zh-TW" w:bidi="zh-TW"/>
                            </w:rPr>
                            <w:t xml:space="preserve"> </w:t>
                          </w:r>
                          <w:r>
                            <w:rPr>
                              <w:rFonts w:ascii="宋体" w:eastAsia="宋体" w:hAnsi="宋体" w:cs="宋体"/>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5" o:spid="_x0000_s1033" type="#_x0000_t202" style="position:absolute;margin-left:224.55pt;margin-top:694.25pt;width:27.6pt;height:7.7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" filled="f" stroked="f">
              <v:textbox style="mso-fit-shape-to-text:t" inset="0,0,0,0">
                <w:txbxContent>
                  <w:p w:rsidR="00245ACD" w:rsidRDefault="00266C09">
                    <w:pPr>
                      <w:pStyle w:val="Headerorfooter2"/>
                    </w:pPr>
                    <w:r>
                      <w:rPr>
                        <w:rFonts w:ascii="宋体" w:eastAsia="宋体" w:hAnsi="宋体" w:cs="宋体"/>
                      </w:rPr>
                      <w:t xml:space="preserve">. </w:t>
                    </w:r>
                    <w:r>
                      <w:fldChar w:fldCharType="begin"/>
                    </w:r>
                    <w:r>
                      <w:instrText xml:space="preserve"> PAGE \* MERGEFORMAT </w:instrText>
                    </w:r>
                    <w:r>
                      <w:fldChar w:fldCharType="separate"/>
                    </w:r>
                    <w:r w:rsidR="00AE46C6" w:rsidRPr="00AE46C6">
                      <w:rPr>
                        <w:rFonts w:ascii="宋体" w:eastAsia="宋体" w:hAnsi="宋体" w:cs="宋体"/>
                        <w:noProof/>
                        <w:lang w:val="zh-TW" w:eastAsia="zh-TW" w:bidi="zh-TW"/>
                      </w:rPr>
                      <w:t>58</w:t>
                    </w:r>
                    <w:r>
                      <w:rPr>
                        <w:rFonts w:ascii="宋体" w:eastAsia="宋体" w:hAnsi="宋体" w:cs="宋体"/>
                        <w:lang w:val="zh-TW" w:eastAsia="zh-TW" w:bidi="zh-TW"/>
                      </w:rPr>
                      <w:fldChar w:fldCharType="end"/>
                    </w:r>
                    <w:r>
                      <w:rPr>
                        <w:rFonts w:ascii="宋体" w:eastAsia="宋体" w:hAnsi="宋体" w:cs="宋体"/>
                        <w:lang w:val="zh-TW" w:eastAsia="zh-TW" w:bidi="zh-TW"/>
                      </w:rPr>
                      <w:t xml:space="preserve"> </w:t>
                    </w:r>
                    <w:r>
                      <w:rPr>
                        <w:rFonts w:ascii="宋体" w:eastAsia="宋体" w:hAnsi="宋体" w:cs="宋体"/>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C09" w:rsidRDefault="00266C09">
      <w:r>
        <w:separator/>
      </w:r>
    </w:p>
  </w:footnote>
  <w:footnote w:type="continuationSeparator" w:id="0">
    <w:p w:rsidR="00266C09" w:rsidRDefault="00266C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E06032"/>
    <w:rsid w:val="00245ACD"/>
    <w:rsid w:val="00266C09"/>
    <w:rsid w:val="00AE46C6"/>
    <w:rsid w:val="0B6C28D8"/>
    <w:rsid w:val="31226FFA"/>
    <w:rsid w:val="61E06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Times New Roman" w:eastAsia="Times New Roman" w:hAnsi="Times New Roman" w:cs="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1">
    <w:name w:val="Heading #1|1"/>
    <w:basedOn w:val="a"/>
    <w:qFormat/>
    <w:pPr>
      <w:spacing w:before="280" w:after="40" w:line="552" w:lineRule="exact"/>
      <w:jc w:val="center"/>
      <w:outlineLvl w:val="0"/>
    </w:pPr>
    <w:rPr>
      <w:rFonts w:ascii="宋体" w:eastAsia="宋体" w:hAnsi="宋体" w:cs="宋体"/>
      <w:sz w:val="36"/>
      <w:szCs w:val="36"/>
      <w:lang w:val="zh-TW" w:eastAsia="zh-TW" w:bidi="zh-TW"/>
    </w:rPr>
  </w:style>
  <w:style w:type="paragraph" w:customStyle="1" w:styleId="Bodytext1">
    <w:name w:val="Body text|1"/>
    <w:basedOn w:val="a"/>
    <w:qFormat/>
    <w:pPr>
      <w:spacing w:line="348" w:lineRule="auto"/>
      <w:ind w:firstLine="400"/>
    </w:pPr>
    <w:rPr>
      <w:rFonts w:ascii="宋体" w:eastAsia="宋体" w:hAnsi="宋体" w:cs="宋体"/>
      <w:sz w:val="20"/>
      <w:szCs w:val="20"/>
      <w:lang w:val="zh-TW" w:eastAsia="zh-TW" w:bidi="zh-TW"/>
    </w:rPr>
  </w:style>
  <w:style w:type="paragraph" w:customStyle="1" w:styleId="Headerorfooter1">
    <w:name w:val="Header or footer|1"/>
    <w:basedOn w:val="a"/>
    <w:qFormat/>
    <w:rPr>
      <w:rFonts w:ascii="宋体" w:eastAsia="宋体" w:hAnsi="宋体" w:cs="宋体"/>
      <w:sz w:val="20"/>
      <w:szCs w:val="20"/>
      <w:lang w:val="zh-TW" w:eastAsia="zh-TW" w:bidi="zh-TW"/>
    </w:rPr>
  </w:style>
  <w:style w:type="paragraph" w:customStyle="1" w:styleId="Headerorfooter2">
    <w:name w:val="Header or footer|2"/>
    <w:basedOn w:val="a"/>
    <w:qFormat/>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Times New Roman" w:eastAsia="Times New Roman" w:hAnsi="Times New Roman" w:cs="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1">
    <w:name w:val="Heading #1|1"/>
    <w:basedOn w:val="a"/>
    <w:qFormat/>
    <w:pPr>
      <w:spacing w:before="280" w:after="40" w:line="552" w:lineRule="exact"/>
      <w:jc w:val="center"/>
      <w:outlineLvl w:val="0"/>
    </w:pPr>
    <w:rPr>
      <w:rFonts w:ascii="宋体" w:eastAsia="宋体" w:hAnsi="宋体" w:cs="宋体"/>
      <w:sz w:val="36"/>
      <w:szCs w:val="36"/>
      <w:lang w:val="zh-TW" w:eastAsia="zh-TW" w:bidi="zh-TW"/>
    </w:rPr>
  </w:style>
  <w:style w:type="paragraph" w:customStyle="1" w:styleId="Bodytext1">
    <w:name w:val="Body text|1"/>
    <w:basedOn w:val="a"/>
    <w:qFormat/>
    <w:pPr>
      <w:spacing w:line="348" w:lineRule="auto"/>
      <w:ind w:firstLine="400"/>
    </w:pPr>
    <w:rPr>
      <w:rFonts w:ascii="宋体" w:eastAsia="宋体" w:hAnsi="宋体" w:cs="宋体"/>
      <w:sz w:val="20"/>
      <w:szCs w:val="20"/>
      <w:lang w:val="zh-TW" w:eastAsia="zh-TW" w:bidi="zh-TW"/>
    </w:rPr>
  </w:style>
  <w:style w:type="paragraph" w:customStyle="1" w:styleId="Headerorfooter1">
    <w:name w:val="Header or footer|1"/>
    <w:basedOn w:val="a"/>
    <w:qFormat/>
    <w:rPr>
      <w:rFonts w:ascii="宋体" w:eastAsia="宋体" w:hAnsi="宋体" w:cs="宋体"/>
      <w:sz w:val="20"/>
      <w:szCs w:val="20"/>
      <w:lang w:val="zh-TW" w:eastAsia="zh-TW" w:bidi="zh-TW"/>
    </w:rPr>
  </w:style>
  <w:style w:type="paragraph" w:customStyle="1" w:styleId="Headerorfooter2">
    <w:name w:val="Header or footer|2"/>
    <w:basedOn w:val="a"/>
    <w:qFormat/>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5208</Words>
  <Characters>5209</Characters>
  <Application>Microsoft Office Word</Application>
  <DocSecurity>0</DocSecurity>
  <Lines>1041</Lines>
  <Paragraphs>1736</Paragraphs>
  <ScaleCrop>false</ScaleCrop>
  <Company>Microsoft</Company>
  <LinksUpToDate>false</LinksUpToDate>
  <CharactersWithSpaces>8681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Ethan</dc:creator>
  <cp:lastModifiedBy>张  欢</cp:lastModifiedBy>
  <cp:revision>3</cp:revision>
  <dcterms:created xsi:type="dcterms:W3CDTF">2021-06-25T02:29:00Z</dcterms:created>
  <dcterms:modified xsi:type="dcterms:W3CDTF">2021-06-28T02:02:00Z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8E717350758945F1BD131171F62CC91E</vt:lpwstr>
  </property>
</Properties>
</file>