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71"/>
        </w:tabs>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cs="宋体"/>
          <w:sz w:val="24"/>
        </w:rPr>
      </w:pPr>
      <w:r>
        <w:rPr>
          <w:rFonts w:hint="eastAsia" w:cs="宋体"/>
          <w:w w:val="110"/>
          <w:sz w:val="24"/>
        </w:rPr>
        <w:t>1.工程量清单说明</w:t>
      </w:r>
    </w:p>
    <w:p>
      <w:pPr>
        <w:pStyle w:val="2"/>
        <w:kinsoku w:val="0"/>
        <w:overflowPunct w:val="0"/>
        <w:autoSpaceDE w:val="0"/>
        <w:autoSpaceDN w:val="0"/>
        <w:adjustRightInd w:val="0"/>
        <w:spacing w:line="360" w:lineRule="auto"/>
        <w:ind w:right="334" w:firstLine="504" w:firstLineChars="200"/>
        <w:rPr>
          <w:rFonts w:cs="宋体"/>
          <w:sz w:val="24"/>
        </w:rPr>
      </w:pPr>
      <w:r>
        <w:rPr>
          <w:rFonts w:hint="eastAsia" w:cs="宋体"/>
          <w:w w:val="105"/>
          <w:sz w:val="24"/>
        </w:rPr>
        <w:t>1.1本工程量清单是根据招标文件中包括的有合同约束力的工程量清单计量规</w:t>
      </w:r>
      <w:r>
        <w:rPr>
          <w:rFonts w:hint="eastAsia" w:cs="宋体"/>
          <w:spacing w:val="-1"/>
          <w:w w:val="105"/>
          <w:sz w:val="24"/>
        </w:rPr>
        <w:t>则、图纸以及有关工程量清单的国家标准</w:t>
      </w:r>
      <w:r>
        <w:rPr>
          <w:rFonts w:hint="eastAsia" w:cs="宋体"/>
          <w:spacing w:val="-4"/>
          <w:w w:val="105"/>
          <w:sz w:val="24"/>
        </w:rPr>
        <w:t>、行业标准、合同条款中约定的其他规则</w:t>
      </w:r>
      <w:r>
        <w:rPr>
          <w:rFonts w:hint="eastAsia" w:cs="宋体"/>
          <w:spacing w:val="-3"/>
          <w:w w:val="105"/>
          <w:sz w:val="24"/>
        </w:rPr>
        <w:t>编制。约定计量规则中没有的子目，其工程量按照有合同约束力的</w:t>
      </w:r>
      <w:r>
        <w:rPr>
          <w:rFonts w:hint="eastAsia" w:cs="宋体"/>
          <w:spacing w:val="-4"/>
          <w:w w:val="105"/>
          <w:sz w:val="24"/>
        </w:rPr>
        <w:t>图纸所标示尺寸</w:t>
      </w:r>
      <w:r>
        <w:rPr>
          <w:rFonts w:hint="eastAsia" w:cs="宋体"/>
          <w:w w:val="105"/>
          <w:sz w:val="24"/>
        </w:rPr>
        <w:t>的理论净量计算</w:t>
      </w:r>
      <w:r>
        <w:rPr>
          <w:rFonts w:hint="eastAsia" w:cs="宋体"/>
          <w:spacing w:val="-5"/>
          <w:w w:val="105"/>
          <w:sz w:val="24"/>
        </w:rPr>
        <w:t>。计量采用中华人民共和国法定计量单位</w:t>
      </w:r>
      <w:r>
        <w:rPr>
          <w:rFonts w:hint="eastAsia" w:cs="宋体"/>
          <w:w w:val="105"/>
          <w:sz w:val="24"/>
        </w:rPr>
        <w:t>。</w:t>
      </w:r>
    </w:p>
    <w:p>
      <w:pPr>
        <w:pStyle w:val="2"/>
        <w:kinsoku w:val="0"/>
        <w:overflowPunct w:val="0"/>
        <w:autoSpaceDE w:val="0"/>
        <w:autoSpaceDN w:val="0"/>
        <w:adjustRightInd w:val="0"/>
        <w:spacing w:before="33" w:line="360" w:lineRule="auto"/>
        <w:ind w:right="319" w:firstLine="566"/>
        <w:rPr>
          <w:rFonts w:cs="宋体"/>
          <w:sz w:val="24"/>
        </w:rPr>
      </w:pPr>
      <w:r>
        <w:rPr>
          <w:rFonts w:hint="eastAsia" w:cs="宋体"/>
          <w:spacing w:val="-8"/>
          <w:w w:val="105"/>
          <w:sz w:val="24"/>
        </w:rPr>
        <w:t xml:space="preserve">1.2 </w:t>
      </w:r>
      <w:r>
        <w:rPr>
          <w:rFonts w:hint="eastAsia" w:cs="宋体"/>
          <w:w w:val="105"/>
          <w:sz w:val="24"/>
        </w:rPr>
        <w:t>本工程量清单应与招标文件中的投标人须</w:t>
      </w:r>
      <w:r>
        <w:rPr>
          <w:rFonts w:hint="eastAsia" w:cs="宋体"/>
          <w:spacing w:val="-6"/>
          <w:w w:val="105"/>
          <w:sz w:val="24"/>
        </w:rPr>
        <w:t>知、通用合同条款</w:t>
      </w:r>
      <w:r>
        <w:rPr>
          <w:rFonts w:hint="eastAsia" w:cs="宋体"/>
          <w:spacing w:val="-9"/>
          <w:w w:val="105"/>
          <w:sz w:val="24"/>
        </w:rPr>
        <w:t>、专用合同条</w:t>
      </w:r>
      <w:r>
        <w:rPr>
          <w:rFonts w:hint="eastAsia" w:cs="宋体"/>
          <w:spacing w:val="-3"/>
          <w:w w:val="105"/>
          <w:sz w:val="24"/>
        </w:rPr>
        <w:t>款、工程量清单计量规则</w:t>
      </w:r>
      <w:r>
        <w:rPr>
          <w:rFonts w:hint="eastAsia" w:cs="宋体"/>
          <w:spacing w:val="-5"/>
          <w:w w:val="105"/>
          <w:sz w:val="24"/>
        </w:rPr>
        <w:t>、技术规范及图纸等</w:t>
      </w:r>
      <w:r>
        <w:rPr>
          <w:rFonts w:hint="eastAsia" w:cs="宋体"/>
          <w:w w:val="105"/>
          <w:sz w:val="24"/>
        </w:rPr>
        <w:t>一起阅读和理解。</w:t>
      </w:r>
    </w:p>
    <w:p>
      <w:pPr>
        <w:pStyle w:val="2"/>
        <w:kinsoku w:val="0"/>
        <w:overflowPunct w:val="0"/>
        <w:autoSpaceDE w:val="0"/>
        <w:autoSpaceDN w:val="0"/>
        <w:adjustRightInd w:val="0"/>
        <w:spacing w:before="40" w:line="360" w:lineRule="auto"/>
        <w:ind w:right="94" w:firstLine="566"/>
        <w:rPr>
          <w:rFonts w:cs="宋体"/>
          <w:spacing w:val="-21"/>
          <w:w w:val="108"/>
          <w:sz w:val="24"/>
        </w:rPr>
      </w:pPr>
      <w:r>
        <w:rPr>
          <w:rFonts w:hint="eastAsia" w:cs="宋体"/>
          <w:w w:val="105"/>
          <w:sz w:val="24"/>
        </w:rPr>
        <w:t>1.3 本工程量清单中所列工程数量是估算的或设计的预计数量</w:t>
      </w:r>
      <w:r>
        <w:rPr>
          <w:rFonts w:hint="eastAsia" w:cs="宋体"/>
          <w:spacing w:val="-9"/>
          <w:w w:val="105"/>
          <w:sz w:val="24"/>
        </w:rPr>
        <w:t>，仅作为投标报</w:t>
      </w:r>
      <w:r>
        <w:rPr>
          <w:rFonts w:hint="eastAsia" w:cs="宋体"/>
          <w:spacing w:val="6"/>
          <w:w w:val="110"/>
          <w:sz w:val="24"/>
        </w:rPr>
        <w:t>价</w:t>
      </w:r>
      <w:r>
        <w:rPr>
          <w:rFonts w:hint="eastAsia" w:cs="宋体"/>
          <w:w w:val="105"/>
          <w:sz w:val="24"/>
        </w:rPr>
        <w:t>的共同基础，不能</w:t>
      </w:r>
      <w:r>
        <w:rPr>
          <w:rFonts w:hint="eastAsia" w:cs="宋体"/>
          <w:w w:val="103"/>
          <w:sz w:val="24"/>
        </w:rPr>
        <w:t>作为最终结算与支</w:t>
      </w:r>
      <w:r>
        <w:rPr>
          <w:rFonts w:hint="eastAsia" w:cs="宋体"/>
          <w:spacing w:val="15"/>
          <w:w w:val="104"/>
          <w:sz w:val="24"/>
        </w:rPr>
        <w:t>付</w:t>
      </w:r>
      <w:r>
        <w:rPr>
          <w:rFonts w:hint="eastAsia" w:cs="宋体"/>
          <w:w w:val="104"/>
          <w:sz w:val="24"/>
        </w:rPr>
        <w:t>的依</w:t>
      </w:r>
      <w:r>
        <w:rPr>
          <w:rFonts w:hint="eastAsia" w:cs="宋体"/>
          <w:spacing w:val="7"/>
          <w:w w:val="104"/>
          <w:sz w:val="24"/>
        </w:rPr>
        <w:t>据</w:t>
      </w:r>
      <w:r>
        <w:rPr>
          <w:rFonts w:hint="eastAsia" w:cs="宋体"/>
          <w:w w:val="106"/>
          <w:sz w:val="24"/>
        </w:rPr>
        <w:t>。实际支付应按</w:t>
      </w:r>
      <w:r>
        <w:rPr>
          <w:rFonts w:hint="eastAsia" w:cs="宋体"/>
          <w:w w:val="105"/>
          <w:sz w:val="24"/>
        </w:rPr>
        <w:t>实际完成的工程量， 由承包人按工程量清单计量规则规定的计量方法</w:t>
      </w:r>
      <w:r>
        <w:rPr>
          <w:rFonts w:hint="eastAsia" w:cs="宋体"/>
          <w:spacing w:val="-11"/>
          <w:w w:val="105"/>
          <w:sz w:val="24"/>
        </w:rPr>
        <w:t>，以监理人</w:t>
      </w:r>
      <w:r>
        <w:rPr>
          <w:rFonts w:hint="eastAsia" w:cs="宋体"/>
          <w:w w:val="105"/>
          <w:sz w:val="24"/>
        </w:rPr>
        <w:t>认可的尺寸、断面计量，按</w:t>
      </w:r>
      <w:r>
        <w:rPr>
          <w:rFonts w:hint="eastAsia" w:cs="宋体"/>
          <w:w w:val="102"/>
          <w:sz w:val="24"/>
        </w:rPr>
        <w:t>本工程量清单的单价和总额价计算支付金额</w:t>
      </w:r>
      <w:r>
        <w:rPr>
          <w:rFonts w:hint="eastAsia" w:cs="宋体"/>
          <w:spacing w:val="-19"/>
          <w:w w:val="108"/>
          <w:sz w:val="24"/>
        </w:rPr>
        <w:t>；或根据具体情况</w:t>
      </w:r>
      <w:r>
        <w:rPr>
          <w:rFonts w:hint="eastAsia" w:cs="宋体"/>
          <w:spacing w:val="-21"/>
          <w:w w:val="108"/>
          <w:sz w:val="24"/>
        </w:rPr>
        <w:t>，按合同条款第</w:t>
      </w:r>
      <w:r>
        <w:rPr>
          <w:rFonts w:hint="eastAsia" w:cs="宋体"/>
          <w:w w:val="105"/>
          <w:sz w:val="24"/>
        </w:rPr>
        <w:t>15.4款的规定</w:t>
      </w:r>
      <w:r>
        <w:rPr>
          <w:rFonts w:hint="eastAsia" w:cs="宋体"/>
          <w:spacing w:val="-4"/>
          <w:w w:val="105"/>
          <w:sz w:val="24"/>
        </w:rPr>
        <w:t>，按监理人确定的单价或总额价计算支付额</w:t>
      </w:r>
      <w:r>
        <w:rPr>
          <w:rFonts w:hint="eastAsia" w:cs="宋体"/>
          <w:w w:val="105"/>
          <w:sz w:val="24"/>
        </w:rPr>
        <w:t>。</w:t>
      </w:r>
    </w:p>
    <w:p>
      <w:pPr>
        <w:pStyle w:val="2"/>
        <w:kinsoku w:val="0"/>
        <w:overflowPunct w:val="0"/>
        <w:autoSpaceDE w:val="0"/>
        <w:autoSpaceDN w:val="0"/>
        <w:adjustRightInd w:val="0"/>
        <w:spacing w:before="35" w:line="360" w:lineRule="auto"/>
        <w:ind w:right="103" w:firstLine="566"/>
        <w:rPr>
          <w:rFonts w:cs="宋体"/>
          <w:w w:val="102"/>
          <w:sz w:val="24"/>
        </w:rPr>
      </w:pPr>
      <w:r>
        <w:rPr>
          <w:rFonts w:hint="eastAsia" w:cs="宋体"/>
          <w:spacing w:val="-21"/>
          <w:w w:val="108"/>
          <w:sz w:val="24"/>
        </w:rPr>
        <w:t>1.4 工程量清单各章是按第八章“工程量清单计量规则”、第七章“技</w:t>
      </w:r>
      <w:r>
        <w:rPr>
          <w:rFonts w:hint="eastAsia" w:cs="宋体"/>
          <w:spacing w:val="-19"/>
          <w:w w:val="108"/>
          <w:sz w:val="24"/>
        </w:rPr>
        <w:t>术规范”的相应</w:t>
      </w:r>
      <w:r>
        <w:rPr>
          <w:rFonts w:hint="eastAsia" w:cs="宋体"/>
          <w:spacing w:val="-21"/>
          <w:w w:val="108"/>
          <w:sz w:val="24"/>
        </w:rPr>
        <w:t>章次</w:t>
      </w:r>
      <w:r>
        <w:rPr>
          <w:rFonts w:hint="eastAsia" w:cs="宋体"/>
          <w:w w:val="102"/>
          <w:sz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cs="宋体"/>
          <w:w w:val="102"/>
          <w:sz w:val="24"/>
        </w:rPr>
      </w:pPr>
      <w:r>
        <w:rPr>
          <w:rFonts w:hint="eastAsia" w:cs="宋体"/>
          <w:w w:val="102"/>
          <w:sz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cs="宋体"/>
          <w:w w:val="102"/>
          <w:sz w:val="24"/>
        </w:rPr>
      </w:pPr>
      <w:r>
        <w:rPr>
          <w:rFonts w:hint="eastAsia" w:cs="宋体"/>
          <w:w w:val="102"/>
          <w:sz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cs="宋体"/>
          <w:sz w:val="24"/>
        </w:rPr>
      </w:pPr>
      <w:r>
        <w:rPr>
          <w:rFonts w:hint="eastAsia" w:cs="宋体"/>
          <w:w w:val="102"/>
          <w:sz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cs="宋体"/>
          <w:spacing w:val="4"/>
          <w:sz w:val="24"/>
        </w:rPr>
      </w:pPr>
      <w:r>
        <w:rPr>
          <w:rFonts w:hint="eastAsia" w:cs="宋体"/>
          <w:spacing w:val="6"/>
          <w:w w:val="110"/>
          <w:sz w:val="24"/>
        </w:rPr>
        <w:t>2.</w:t>
      </w:r>
      <w:r>
        <w:rPr>
          <w:rFonts w:hint="eastAsia" w:cs="宋体"/>
          <w:spacing w:val="4"/>
          <w:w w:val="110"/>
          <w:sz w:val="24"/>
        </w:rPr>
        <w:t>投标报价说明</w:t>
      </w:r>
    </w:p>
    <w:p>
      <w:pPr>
        <w:pStyle w:val="2"/>
        <w:kinsoku w:val="0"/>
        <w:overflowPunct w:val="0"/>
        <w:autoSpaceDE w:val="0"/>
        <w:autoSpaceDN w:val="0"/>
        <w:adjustRightInd w:val="0"/>
        <w:spacing w:line="360" w:lineRule="auto"/>
        <w:ind w:right="329" w:firstLine="516" w:firstLineChars="200"/>
        <w:rPr>
          <w:rFonts w:cs="宋体"/>
          <w:sz w:val="24"/>
        </w:rPr>
      </w:pPr>
      <w:r>
        <w:rPr>
          <w:rFonts w:hint="eastAsia" w:cs="宋体"/>
          <w:spacing w:val="3"/>
          <w:w w:val="105"/>
          <w:sz w:val="24"/>
        </w:rPr>
        <w:t xml:space="preserve">2.1 </w:t>
      </w:r>
      <w:r>
        <w:rPr>
          <w:rFonts w:hint="eastAsia" w:cs="宋体"/>
          <w:w w:val="105"/>
          <w:sz w:val="24"/>
        </w:rPr>
        <w:t>工程量清单中的每一子目须填入单价或价格</w:t>
      </w:r>
      <w:r>
        <w:rPr>
          <w:rFonts w:hint="eastAsia" w:cs="宋体"/>
          <w:spacing w:val="-8"/>
          <w:w w:val="105"/>
          <w:sz w:val="24"/>
        </w:rPr>
        <w:t>，且只允许有一个报价</w:t>
      </w:r>
      <w:r>
        <w:rPr>
          <w:rFonts w:hint="eastAsia" w:cs="宋体"/>
          <w:w w:val="105"/>
          <w:sz w:val="24"/>
        </w:rPr>
        <w:t>。</w:t>
      </w:r>
    </w:p>
    <w:p>
      <w:pPr>
        <w:pStyle w:val="2"/>
        <w:kinsoku w:val="0"/>
        <w:overflowPunct w:val="0"/>
        <w:autoSpaceDE w:val="0"/>
        <w:autoSpaceDN w:val="0"/>
        <w:adjustRightInd w:val="0"/>
        <w:spacing w:before="80" w:line="360" w:lineRule="auto"/>
        <w:ind w:right="126" w:firstLine="542"/>
        <w:rPr>
          <w:rFonts w:cs="宋体"/>
          <w:w w:val="105"/>
          <w:sz w:val="24"/>
        </w:rPr>
      </w:pPr>
      <w:r>
        <w:rPr>
          <w:rFonts w:hint="eastAsia" w:cs="宋体"/>
          <w:w w:val="105"/>
          <w:sz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504" w:firstLineChars="200"/>
        <w:rPr>
          <w:rFonts w:cs="宋体"/>
          <w:sz w:val="24"/>
        </w:rPr>
      </w:pPr>
      <w:r>
        <w:rPr>
          <w:rFonts w:hint="eastAsia" w:cs="宋体"/>
          <w:w w:val="105"/>
          <w:sz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2.6  工程量清单中各项金额均以人民币（元）结算。</w:t>
      </w:r>
    </w:p>
    <w:p>
      <w:pPr>
        <w:pStyle w:val="2"/>
        <w:kinsoku w:val="0"/>
        <w:overflowPunct w:val="0"/>
        <w:autoSpaceDE w:val="0"/>
        <w:autoSpaceDN w:val="0"/>
        <w:adjustRightInd w:val="0"/>
        <w:spacing w:before="30" w:line="360" w:lineRule="auto"/>
        <w:ind w:right="323" w:firstLine="504" w:firstLineChars="200"/>
        <w:rPr>
          <w:rFonts w:hint="eastAsia" w:cs="宋体"/>
          <w:w w:val="105"/>
          <w:sz w:val="24"/>
          <w:lang w:eastAsia="zh-CN"/>
        </w:rPr>
      </w:pPr>
      <w:r>
        <w:rPr>
          <w:rFonts w:hint="eastAsia" w:cs="宋体"/>
          <w:w w:val="105"/>
          <w:sz w:val="24"/>
        </w:rPr>
        <w:t>2.7  暂列金额</w:t>
      </w:r>
      <w:r>
        <w:rPr>
          <w:rFonts w:hint="eastAsia" w:cs="宋体"/>
          <w:w w:val="105"/>
          <w:sz w:val="24"/>
          <w:lang w:val="en-US" w:eastAsia="zh-CN"/>
        </w:rPr>
        <w:t>:130318.00元，投标人报价时，</w:t>
      </w:r>
      <w:r>
        <w:rPr>
          <w:rFonts w:hint="eastAsia" w:cs="宋体"/>
          <w:w w:val="103"/>
          <w:sz w:val="24"/>
          <w:lang w:eastAsia="zh-CN"/>
        </w:rPr>
        <w:t>将此</w:t>
      </w:r>
      <w:r>
        <w:rPr>
          <w:rFonts w:hint="eastAsia" w:cs="宋体"/>
          <w:w w:val="103"/>
          <w:sz w:val="24"/>
        </w:rPr>
        <w:t>金额计入本工程量清单</w:t>
      </w:r>
      <w:r>
        <w:rPr>
          <w:rFonts w:hint="eastAsia" w:cs="宋体"/>
          <w:w w:val="103"/>
          <w:sz w:val="24"/>
          <w:lang w:eastAsia="zh-CN"/>
        </w:rPr>
        <w:t>“</w:t>
      </w:r>
      <w:r>
        <w:rPr>
          <w:rFonts w:hint="eastAsia" w:cs="宋体"/>
          <w:w w:val="105"/>
          <w:sz w:val="24"/>
          <w:lang w:val="en-US" w:eastAsia="zh-CN"/>
        </w:rPr>
        <w:t>投标报价汇总表”暂列金额中。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2.8  暂估价的数量及拟用子目的说明：</w:t>
      </w:r>
      <w:r>
        <w:rPr>
          <w:rFonts w:hint="eastAsia" w:cs="宋体"/>
          <w:w w:val="105"/>
          <w:sz w:val="24"/>
          <w:u w:val="single"/>
        </w:rPr>
        <w:t>无</w:t>
      </w:r>
      <w:r>
        <w:rPr>
          <w:rFonts w:hint="eastAsia" w:cs="宋体"/>
          <w:w w:val="105"/>
          <w:sz w:val="24"/>
        </w:rPr>
        <w:t xml:space="preserve">。            </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lang w:val="en-US" w:eastAsia="zh-CN"/>
        </w:rPr>
        <w:t>3</w:t>
      </w:r>
      <w:r>
        <w:rPr>
          <w:rFonts w:hint="eastAsia" w:cs="宋体"/>
          <w:w w:val="103"/>
          <w:sz w:val="24"/>
        </w:rPr>
        <w:t>. 其他说明：</w:t>
      </w:r>
    </w:p>
    <w:p>
      <w:pPr>
        <w:widowControl/>
        <w:spacing w:line="360" w:lineRule="auto"/>
        <w:ind w:firstLine="480"/>
        <w:jc w:val="left"/>
        <w:rPr>
          <w:rFonts w:hint="eastAsia"/>
          <w:sz w:val="24"/>
          <w:szCs w:val="24"/>
        </w:rPr>
      </w:pPr>
      <w:r>
        <w:rPr>
          <w:rFonts w:hint="eastAsia" w:cs="宋体"/>
          <w:w w:val="103"/>
          <w:sz w:val="24"/>
          <w:lang w:val="en-US" w:eastAsia="zh-CN"/>
        </w:rPr>
        <w:t>3</w:t>
      </w:r>
      <w:r>
        <w:rPr>
          <w:rFonts w:hint="eastAsia" w:cs="宋体"/>
          <w:w w:val="103"/>
          <w:sz w:val="24"/>
        </w:rPr>
        <w:t>.1工程内容：</w:t>
      </w:r>
      <w:r>
        <w:rPr>
          <w:rFonts w:hint="eastAsia" w:cs="宋体"/>
          <w:w w:val="103"/>
          <w:sz w:val="24"/>
          <w:lang w:eastAsia="zh-CN"/>
        </w:rPr>
        <w:t>本工程为鞍山市黑大线冉家堡桥、草鞍线倪家台桥维修加固工程一标段</w:t>
      </w:r>
      <w:r>
        <w:rPr>
          <w:rFonts w:hint="eastAsia" w:cs="宋体"/>
          <w:w w:val="103"/>
          <w:sz w:val="24"/>
          <w:lang w:val="en-US" w:eastAsia="zh-CN"/>
        </w:rPr>
        <w:t>施工</w:t>
      </w:r>
      <w:r>
        <w:rPr>
          <w:rFonts w:hint="eastAsia" w:cs="宋体"/>
          <w:w w:val="103"/>
          <w:sz w:val="24"/>
        </w:rPr>
        <w:t>，</w:t>
      </w:r>
      <w:r>
        <w:rPr>
          <w:rFonts w:hint="eastAsia" w:ascii="Times New Roman" w:hAnsi="Times New Roman" w:cs="宋体"/>
          <w:w w:val="103"/>
          <w:sz w:val="24"/>
        </w:rPr>
        <w:t>该项目位于海城市境内黑大线（G202）K1442+443处，桥梁跨境布置为1*13米+3*20米+1*13米，桥面净宽23.7米，全宽24.7米</w:t>
      </w:r>
      <w:r>
        <w:rPr>
          <w:rFonts w:hint="eastAsia" w:ascii="Times New Roman" w:hAnsi="Times New Roman" w:cs="宋体"/>
          <w:w w:val="103"/>
          <w:sz w:val="24"/>
          <w:lang w:eastAsia="zh-CN"/>
        </w:rPr>
        <w:t>，</w:t>
      </w:r>
      <w:r>
        <w:rPr>
          <w:rFonts w:hint="eastAsia"/>
          <w:sz w:val="24"/>
          <w:szCs w:val="24"/>
          <w:lang w:eastAsia="zh-CN"/>
        </w:rPr>
        <w:t>招标范围；</w:t>
      </w:r>
      <w:r>
        <w:rPr>
          <w:rFonts w:hint="eastAsia" w:ascii="Times New Roman" w:hAnsi="Times New Roman" w:cs="Times New Roman"/>
          <w:sz w:val="24"/>
          <w:szCs w:val="24"/>
          <w:lang w:eastAsia="zh-CN"/>
        </w:rPr>
        <w:t>全桥上部结构拆除，采用预应力T梁进行新建，下部结构加固后利用，重新铺设桥面系，荷载等级提至公路-I级</w:t>
      </w:r>
      <w:r>
        <w:rPr>
          <w:rFonts w:hint="eastAsia"/>
          <w:sz w:val="24"/>
          <w:szCs w:val="24"/>
        </w:rPr>
        <w:t>等施工图纸范围内全部内容</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 xml:space="preserve"> </w:t>
      </w:r>
      <w:r>
        <w:rPr>
          <w:rFonts w:hint="eastAsia" w:cs="宋体"/>
          <w:w w:val="103"/>
          <w:sz w:val="24"/>
          <w:lang w:val="en-US" w:eastAsia="zh-CN"/>
        </w:rPr>
        <w:t>3</w:t>
      </w:r>
      <w:r>
        <w:rPr>
          <w:rFonts w:hint="eastAsia" w:cs="宋体"/>
          <w:w w:val="103"/>
          <w:sz w:val="24"/>
        </w:rPr>
        <w:t>.2 投标报价要求：</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（1）根据交通部颁发的《公路水运工程安全生产监督管理办法》，投标人在投标总价中应计入安全生产费用，该费用为最高投标限价的1.5％，以固定金额计入本工程量清单支付细目102-3中。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w:t>
      </w:r>
      <w:r>
        <w:rPr>
          <w:rFonts w:hint="eastAsia" w:cs="宋体"/>
          <w:w w:val="103"/>
          <w:sz w:val="24"/>
          <w:lang w:val="en-US" w:eastAsia="zh-CN"/>
        </w:rPr>
        <w:t>3</w:t>
      </w:r>
      <w:r>
        <w:rPr>
          <w:rFonts w:hint="eastAsia" w:cs="宋体"/>
          <w:w w:val="103"/>
          <w:sz w:val="24"/>
        </w:rPr>
        <w:t>）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firstLine="494" w:firstLineChars="200"/>
        <w:rPr>
          <w:rFonts w:hint="eastAsia" w:cs="宋体"/>
          <w:w w:val="103"/>
          <w:sz w:val="24"/>
          <w:lang w:val="en-US" w:eastAsia="zh-CN"/>
        </w:rPr>
      </w:pPr>
      <w:r>
        <w:rPr>
          <w:rFonts w:hint="eastAsia" w:cs="宋体"/>
          <w:w w:val="103"/>
          <w:sz w:val="24"/>
        </w:rPr>
        <w:t>（</w:t>
      </w:r>
      <w:r>
        <w:rPr>
          <w:rFonts w:hint="eastAsia" w:cs="宋体"/>
          <w:w w:val="103"/>
          <w:sz w:val="24"/>
          <w:lang w:val="en-US" w:eastAsia="zh-CN"/>
        </w:rPr>
        <w:t>4</w:t>
      </w:r>
      <w:r>
        <w:rPr>
          <w:rFonts w:hint="eastAsia" w:cs="宋体"/>
          <w:w w:val="103"/>
          <w:sz w:val="24"/>
        </w:rPr>
        <w:t>）本工程最高投标限价为5840196.00元，投标报价不得高于最高投标限价</w:t>
      </w:r>
      <w:r>
        <w:rPr>
          <w:rFonts w:hint="eastAsia" w:cs="宋体"/>
          <w:w w:val="103"/>
          <w:sz w:val="24"/>
          <w:lang w:val="en-US" w:eastAsia="zh-CN"/>
        </w:rPr>
        <w:t>.</w:t>
      </w:r>
    </w:p>
    <w:p>
      <w:pPr>
        <w:pStyle w:val="2"/>
        <w:kinsoku w:val="0"/>
        <w:overflowPunct w:val="0"/>
        <w:autoSpaceDE w:val="0"/>
        <w:autoSpaceDN w:val="0"/>
        <w:adjustRightInd w:val="0"/>
        <w:spacing w:before="29" w:line="360" w:lineRule="auto"/>
        <w:ind w:right="176" w:firstLine="494" w:firstLineChars="200"/>
        <w:rPr>
          <w:rFonts w:hint="eastAsia" w:cs="宋体"/>
          <w:w w:val="103"/>
          <w:sz w:val="24"/>
          <w:lang w:val="en-US" w:eastAsia="zh-CN"/>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hint="eastAsia" w:ascii="宋体" w:hAnsi="宋体" w:eastAsia="宋体" w:cs="宋体"/>
          <w:i w:val="0"/>
          <w:iCs w:val="0"/>
          <w:color w:val="000000"/>
          <w:kern w:val="0"/>
          <w:sz w:val="16"/>
          <w:szCs w:val="16"/>
          <w:u w:val="none"/>
          <w:lang w:val="en-US" w:eastAsia="zh-CN" w:bidi="ar"/>
        </w:rPr>
      </w:pPr>
    </w:p>
    <w:p>
      <w:pPr>
        <w:pStyle w:val="2"/>
        <w:kinsoku w:val="0"/>
        <w:overflowPunct w:val="0"/>
        <w:spacing w:before="13"/>
        <w:ind w:right="94"/>
        <w:rPr>
          <w:rFonts w:cs="宋体"/>
          <w:spacing w:val="-5"/>
          <w:sz w:val="28"/>
          <w:szCs w:val="28"/>
        </w:rPr>
      </w:pPr>
      <w:r>
        <w:rPr>
          <w:rFonts w:hint="eastAsia" w:cs="宋体"/>
          <w:w w:val="105"/>
          <w:sz w:val="28"/>
          <w:szCs w:val="28"/>
        </w:rPr>
        <w:t>5.</w:t>
      </w:r>
      <w:r>
        <w:rPr>
          <w:rFonts w:hint="eastAsia" w:cs="宋体"/>
          <w:spacing w:val="-5"/>
          <w:w w:val="105"/>
          <w:sz w:val="28"/>
          <w:szCs w:val="28"/>
        </w:rPr>
        <w:t>工程量清单</w:t>
      </w:r>
    </w:p>
    <w:p>
      <w:pPr>
        <w:pStyle w:val="2"/>
        <w:kinsoku w:val="0"/>
        <w:overflowPunct w:val="0"/>
        <w:ind w:right="94"/>
        <w:rPr>
          <w:rFonts w:hint="eastAsia" w:cs="宋体"/>
          <w:w w:val="105"/>
          <w:sz w:val="28"/>
          <w:szCs w:val="28"/>
        </w:rPr>
      </w:pPr>
      <w:r>
        <w:rPr>
          <w:rFonts w:hint="eastAsia" w:cs="宋体"/>
          <w:w w:val="105"/>
          <w:sz w:val="28"/>
          <w:szCs w:val="28"/>
        </w:rPr>
        <w:t>5.1工程量清单表</w:t>
      </w:r>
    </w:p>
    <w:tbl>
      <w:tblPr>
        <w:tblStyle w:val="5"/>
        <w:tblW w:w="8505" w:type="dxa"/>
        <w:tblInd w:w="91" w:type="dxa"/>
        <w:shd w:val="clear" w:color="auto" w:fill="auto"/>
        <w:tblLayout w:type="autofit"/>
        <w:tblCellMar>
          <w:top w:w="0" w:type="dxa"/>
          <w:left w:w="108" w:type="dxa"/>
          <w:bottom w:w="0" w:type="dxa"/>
          <w:right w:w="108" w:type="dxa"/>
        </w:tblCellMar>
      </w:tblPr>
      <w:tblGrid>
        <w:gridCol w:w="704"/>
        <w:gridCol w:w="177"/>
        <w:gridCol w:w="704"/>
        <w:gridCol w:w="3046"/>
        <w:gridCol w:w="704"/>
        <w:gridCol w:w="1058"/>
        <w:gridCol w:w="879"/>
        <w:gridCol w:w="177"/>
        <w:gridCol w:w="1056"/>
      </w:tblGrid>
      <w:tr>
        <w:tblPrEx>
          <w:shd w:val="clear" w:color="auto" w:fill="auto"/>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trHeight w:val="600" w:hRule="atLeast"/>
        </w:trPr>
        <w:tc>
          <w:tcPr>
            <w:tcW w:w="8505" w:type="dxa"/>
            <w:gridSpan w:val="9"/>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 xml:space="preserve"> 合同顿：鞍山市2021年黑大线冉家堡桥、草鞍线倪家台桥维修加固工程一标段  </w:t>
            </w:r>
            <w:r>
              <w:rPr>
                <w:rFonts w:hint="eastAsia" w:ascii="宋体" w:hAnsi="宋体" w:cs="宋体"/>
                <w:i w:val="0"/>
                <w:iCs w:val="0"/>
                <w:color w:val="000000"/>
                <w:kern w:val="0"/>
                <w:sz w:val="16"/>
                <w:szCs w:val="16"/>
                <w:u w:val="none"/>
                <w:lang w:val="en-US" w:eastAsia="zh-CN" w:bidi="ar"/>
              </w:rPr>
              <w:t xml:space="preserve">                标表1                                                                           </w:t>
            </w:r>
          </w:p>
        </w:tc>
      </w:tr>
      <w:tr>
        <w:tblPrEx>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7"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3" w:type="dxa"/>
            <w:gridSpan w:val="2"/>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8"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暂列金额</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6568"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386"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060"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合同顿：鞍山市2021年黑大线冉家堡桥、草鞍线倪家台桥维修加固工程一标段 </w:t>
            </w:r>
            <w:r>
              <w:rPr>
                <w:rFonts w:hint="eastAsia" w:ascii="宋体" w:hAnsi="宋体" w:cs="宋体"/>
                <w:b w:val="0"/>
                <w:bCs w:val="0"/>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 xml:space="preserve">  标表2 </w:t>
            </w:r>
            <w:r>
              <w:rPr>
                <w:rFonts w:hint="eastAsia" w:ascii="宋体" w:hAnsi="宋体" w:cs="宋体"/>
                <w:b w:val="0"/>
                <w:bCs w:val="0"/>
                <w:i w:val="0"/>
                <w:iCs w:val="0"/>
                <w:color w:val="000000"/>
                <w:kern w:val="0"/>
                <w:sz w:val="16"/>
                <w:szCs w:val="16"/>
                <w:u w:val="none"/>
                <w:lang w:val="en-US" w:eastAsia="zh-CN" w:bidi="ar"/>
              </w:rPr>
              <w:t xml:space="preserve">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968"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合同顿：鞍山市2021年黑大线冉家堡桥、草鞍线倪家台桥维修加固工程一标段 </w:t>
            </w:r>
            <w:r>
              <w:rPr>
                <w:rFonts w:hint="eastAsia" w:ascii="宋体" w:hAnsi="宋体" w:cs="宋体"/>
                <w:b w:val="0"/>
                <w:bCs w:val="0"/>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标表2</w:t>
            </w:r>
            <w:r>
              <w:rPr>
                <w:rFonts w:hint="eastAsia" w:ascii="宋体" w:hAnsi="宋体" w:cs="宋体"/>
                <w:b w:val="0"/>
                <w:bCs w:val="0"/>
                <w:i w:val="0"/>
                <w:iCs w:val="0"/>
                <w:color w:val="000000"/>
                <w:kern w:val="0"/>
                <w:sz w:val="16"/>
                <w:szCs w:val="16"/>
                <w:u w:val="none"/>
                <w:lang w:val="en-US" w:eastAsia="zh-CN" w:bidi="ar"/>
              </w:rPr>
              <w:t xml:space="preserve">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433.600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拆除结构物（桥）</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拆除混凝土及污工</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1539.300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改河、改渠、改路挖方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210.600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803" w:hRule="atLeast"/>
        </w:trPr>
        <w:tc>
          <w:tcPr>
            <w:tcW w:w="881"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080" w:hRule="atLeast"/>
        </w:trPr>
        <w:tc>
          <w:tcPr>
            <w:tcW w:w="881"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合同顿：鞍山市2021年黑大线冉家堡桥、草鞍线倪家台桥维修加固工程一标段 </w:t>
            </w:r>
            <w:r>
              <w:rPr>
                <w:rFonts w:hint="eastAsia" w:ascii="宋体" w:hAnsi="宋体" w:cs="宋体"/>
                <w:b w:val="0"/>
                <w:bCs w:val="0"/>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标表2</w:t>
            </w:r>
            <w:r>
              <w:rPr>
                <w:rFonts w:hint="eastAsia" w:ascii="宋体" w:hAnsi="宋体" w:cs="宋体"/>
                <w:b w:val="0"/>
                <w:bCs w:val="0"/>
                <w:i w:val="0"/>
                <w:iCs w:val="0"/>
                <w:color w:val="000000"/>
                <w:kern w:val="0"/>
                <w:sz w:val="16"/>
                <w:szCs w:val="16"/>
                <w:u w:val="none"/>
                <w:lang w:val="en-US" w:eastAsia="zh-CN" w:bidi="ar"/>
              </w:rPr>
              <w:t xml:space="preserve">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302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bookmarkStart w:id="0" w:name="_GoBack"/>
            <w:bookmarkEnd w:id="0"/>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302-2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水泥砂砾垫层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eastAsia="zh-CN"/>
              </w:rPr>
              <w:t>掺</w:t>
            </w:r>
            <w:r>
              <w:rPr>
                <w:rFonts w:hint="eastAsia" w:ascii="宋体" w:hAnsi="宋体" w:cs="宋体"/>
                <w:i w:val="0"/>
                <w:iCs w:val="0"/>
                <w:color w:val="000000"/>
                <w:sz w:val="16"/>
                <w:szCs w:val="16"/>
                <w:u w:val="none"/>
                <w:lang w:val="en-US" w:eastAsia="zh-CN"/>
              </w:rPr>
              <w:t>8%</w:t>
            </w:r>
            <w:r>
              <w:rPr>
                <w:rFonts w:hint="eastAsia" w:ascii="宋体" w:hAnsi="宋体" w:cs="宋体"/>
                <w:i w:val="0"/>
                <w:iCs w:val="0"/>
                <w:color w:val="000000"/>
                <w:sz w:val="16"/>
                <w:szCs w:val="16"/>
                <w:u w:val="none"/>
                <w:lang w:eastAsia="zh-CN"/>
              </w:rPr>
              <w:t>水泥砂砾垫层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lang w:val="en-US"/>
              </w:rPr>
            </w:pPr>
            <w:r>
              <w:rPr>
                <w:rFonts w:hint="eastAsia" w:ascii="Arial Narrow" w:hAnsi="Arial Narrow" w:eastAsia="Arial Narrow" w:cs="Arial Narrow"/>
                <w:i w:val="0"/>
                <w:iCs w:val="0"/>
                <w:color w:val="000000"/>
                <w:kern w:val="0"/>
                <w:sz w:val="16"/>
                <w:szCs w:val="16"/>
                <w:u w:val="none"/>
                <w:lang w:val="en-US" w:eastAsia="zh-CN" w:bidi="ar"/>
              </w:rPr>
              <w:t>496.5</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透</w:t>
            </w:r>
            <w:r>
              <w:rPr>
                <w:rFonts w:hint="eastAsia" w:ascii="宋体" w:hAnsi="宋体" w:cs="宋体"/>
                <w:i w:val="0"/>
                <w:iCs w:val="0"/>
                <w:color w:val="000000"/>
                <w:kern w:val="0"/>
                <w:sz w:val="16"/>
                <w:szCs w:val="16"/>
                <w:u w:val="none"/>
                <w:lang w:val="en-US" w:eastAsia="zh-CN" w:bidi="ar"/>
              </w:rPr>
              <w:t>水性材料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3700.000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橡胶沥青封层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3700.000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普通沥青混凝土面层（中粒式）(粗粒式）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（中粒式）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厚40mm（中粒式）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1"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880" w:hRule="atLeast"/>
        </w:trPr>
        <w:tc>
          <w:tcPr>
            <w:tcW w:w="881"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合同顿：鞍山市2021年黑大线冉家堡桥、草鞍线倪家台桥维修加固工程一标段 </w:t>
            </w:r>
            <w:r>
              <w:rPr>
                <w:rFonts w:hint="eastAsia" w:ascii="宋体" w:hAnsi="宋体" w:cs="宋体"/>
                <w:b w:val="0"/>
                <w:bCs w:val="0"/>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标表2</w:t>
            </w:r>
            <w:r>
              <w:rPr>
                <w:rFonts w:hint="eastAsia" w:ascii="宋体" w:hAnsi="宋体" w:cs="宋体"/>
                <w:b w:val="0"/>
                <w:bCs w:val="0"/>
                <w:i w:val="0"/>
                <w:iCs w:val="0"/>
                <w:color w:val="000000"/>
                <w:kern w:val="0"/>
                <w:sz w:val="16"/>
                <w:szCs w:val="16"/>
                <w:u w:val="none"/>
                <w:lang w:val="en-US" w:eastAsia="zh-CN" w:bidi="ar"/>
              </w:rPr>
              <w:t xml:space="preserve">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下部结构钢筋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238.480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33603.590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植筋钻孔</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593.920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4551.120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254618.600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15.2钢绞线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42635.740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混凝土下部结构（桥台、桥墩、盖梁、台帽）等</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混凝土c40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224.530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混凝土c30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71.100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混凝土c15</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78.200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混凝土c35</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29.840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现浇混凝土上部结构(梁、桥面、引导等）</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c50砼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349.020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105.400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碳纤维布</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433.880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丙环氧树脂砂浆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88.220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钢筋除锈</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979.000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泄水管</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砼凿毛</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64.100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42.060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打磨</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167.520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-z</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防腐涂层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167.520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硅烷</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762.620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预制混凝土上部结构梁c50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714.330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砌石工程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浆砌片石（八字墙、基础、墙）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M10片石墙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57.680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浆砌块石</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M10块石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22.240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桥梁支座</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支座</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GBZJ250*300*74mm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499.500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GBZJ300*400*74mm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266.400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7"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合同顿：鞍山市2021年黑大线冉家堡桥、草鞍线倪家台桥维修加固工程一标段 </w:t>
            </w:r>
            <w:r>
              <w:rPr>
                <w:rFonts w:hint="eastAsia" w:ascii="宋体" w:hAnsi="宋体" w:cs="宋体"/>
                <w:b w:val="0"/>
                <w:bCs w:val="0"/>
                <w:i w:val="0"/>
                <w:iCs w:val="0"/>
                <w:color w:val="000000"/>
                <w:kern w:val="0"/>
                <w:sz w:val="16"/>
                <w:szCs w:val="16"/>
                <w:u w:val="none"/>
                <w:lang w:val="en-US" w:eastAsia="zh-CN" w:bidi="ar"/>
              </w:rPr>
              <w:t xml:space="preserve">                       </w:t>
            </w:r>
            <w:r>
              <w:rPr>
                <w:rFonts w:hint="eastAsia" w:ascii="宋体" w:hAnsi="宋体" w:cs="宋体"/>
                <w:i w:val="0"/>
                <w:iCs w:val="0"/>
                <w:color w:val="000000"/>
                <w:kern w:val="0"/>
                <w:sz w:val="16"/>
                <w:szCs w:val="16"/>
                <w:u w:val="none"/>
                <w:lang w:val="en-US" w:eastAsia="zh-CN" w:bidi="ar"/>
              </w:rPr>
              <w:t>标表2</w:t>
            </w:r>
            <w:r>
              <w:rPr>
                <w:rFonts w:hint="eastAsia" w:ascii="宋体" w:hAnsi="宋体" w:cs="宋体"/>
                <w:b w:val="0"/>
                <w:bCs w:val="0"/>
                <w:i w:val="0"/>
                <w:iCs w:val="0"/>
                <w:color w:val="000000"/>
                <w:kern w:val="0"/>
                <w:sz w:val="16"/>
                <w:szCs w:val="16"/>
                <w:u w:val="none"/>
                <w:lang w:val="en-US" w:eastAsia="zh-CN" w:bidi="ar"/>
              </w:rPr>
              <w:t xml:space="preserve">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路侧波形梁钢护栏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3672.000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立柱、端头、钢板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6007.970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波纹管Φ90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1169.400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波纹管Φ80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581.850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波纹管Φ60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757.920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波纹管Φ90*23</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波纹管Φ70*19</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361.440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锚具15-4--10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360.000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127.920</w:t>
            </w: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Pr>
        <w:spacing w:line="360" w:lineRule="auto"/>
        <w:rPr>
          <w:rFonts w:ascii="宋体" w:hAnsi="宋体" w:cs="宋体"/>
        </w:rPr>
        <w:sectPr>
          <w:footerReference r:id="rId3" w:type="default"/>
          <w:footerReference r:id="rId4" w:type="even"/>
          <w:pgSz w:w="11905" w:h="16838"/>
          <w:pgMar w:top="1440" w:right="1797" w:bottom="1440" w:left="1797" w:header="851" w:footer="992" w:gutter="0"/>
          <w:cols w:space="0" w:num="1"/>
          <w:rtlGutter w:val="0"/>
          <w:docGrid w:linePitch="0" w:charSpace="0"/>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5"/>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pPr>
        <w:sectPr>
          <w:pgSz w:w="16838" w:h="11905" w:orient="landscape"/>
          <w:pgMar w:top="1797" w:right="1440" w:bottom="1797" w:left="1440" w:header="851" w:footer="992" w:gutter="0"/>
          <w:cols w:space="0" w:num="1"/>
          <w:rtlGutter w:val="0"/>
          <w:docGrid w:linePitch="0" w:charSpace="0"/>
        </w:sectPr>
      </w:pPr>
    </w:p>
    <w:p/>
    <w:sectPr>
      <w:pgSz w:w="16838" w:h="11905" w:orient="landscape"/>
      <w:pgMar w:top="1797" w:right="1440" w:bottom="179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panose1 w:val="00000400000000000000"/>
    <w:charset w:val="02"/>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20"/>
        <w:szCs w:val="20"/>
      </w:rPr>
    </w:pPr>
    <w:r>
      <w:pict>
        <v:shape id="_x0000_s4098" o:spid="_x0000_s4098" o:spt="202" type="#_x0000_t202" style="position:absolute;left:0pt;margin-left:81.3pt;margin-top:788.45pt;height:12pt;width:17.4pt;mso-position-horizontal-relative:page;mso-position-vertical-relative:page;z-index:-251657216;mso-width-relative:page;mso-height-relative:page;" filled="f" stroked="f" coordsize="21600,21600" o:allowincell="f"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DZXMqamAQAA&#10;LAMAAA4AAAAAAAAAAQAgAAAAKAEAAGRycy9lMm9Eb2MueG1sUEsFBgAAAAAGAAYAWQEAAEAFAAAA&#10;AA==&#10;">
          <v:path/>
          <v:fill on="f" focussize="0,0"/>
          <v:stroke on="f" joinstyle="miter"/>
          <v:imagedata o:title=""/>
          <o:lock v:ext="edit"/>
          <v:textbox inset="0mm,0mm,0mm,0mm">
            <w:txbxContent>
              <w:p>
                <w:pPr>
                  <w:pStyle w:val="2"/>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Pr>
                    <w:rFonts w:ascii="Times New Roman"/>
                    <w:color w:val="010101"/>
                    <w:w w:val="105"/>
                    <w:sz w:val="17"/>
                    <w:szCs w:val="17"/>
                  </w:rPr>
                  <w:instrText xml:space="preserve"> PAGE </w:instrText>
                </w:r>
                <w:r>
                  <w:rPr>
                    <w:rFonts w:ascii="Times New Roman"/>
                    <w:color w:val="010101"/>
                    <w:w w:val="105"/>
                    <w:sz w:val="17"/>
                    <w:szCs w:val="17"/>
                  </w:rPr>
                  <w:fldChar w:fldCharType="separate"/>
                </w:r>
                <w:r>
                  <w:rPr>
                    <w:rFonts w:ascii="Times New Roman"/>
                    <w:color w:val="010101"/>
                    <w:w w:val="105"/>
                    <w:sz w:val="17"/>
                    <w:szCs w:val="17"/>
                  </w:rPr>
                  <w:t>194</w:t>
                </w:r>
                <w:r>
                  <w:rPr>
                    <w:rFonts w:ascii="Times New Roman"/>
                    <w:color w:val="010101"/>
                    <w:w w:val="105"/>
                    <w:sz w:val="17"/>
                    <w:szCs w:val="17"/>
                  </w:rPr>
                  <w:fldChar w:fldCharType="end"/>
                </w:r>
              </w:p>
            </w:txbxContent>
          </v:textbox>
          <w10:anchorlock/>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C11441"/>
    <w:rsid w:val="00002FFD"/>
    <w:rsid w:val="00046011"/>
    <w:rsid w:val="001921EB"/>
    <w:rsid w:val="001E1B20"/>
    <w:rsid w:val="001F3878"/>
    <w:rsid w:val="00244852"/>
    <w:rsid w:val="00264D4E"/>
    <w:rsid w:val="002A46C2"/>
    <w:rsid w:val="002C7B03"/>
    <w:rsid w:val="00396916"/>
    <w:rsid w:val="003B13AB"/>
    <w:rsid w:val="004141A9"/>
    <w:rsid w:val="00563CA5"/>
    <w:rsid w:val="00574868"/>
    <w:rsid w:val="00597499"/>
    <w:rsid w:val="0064214A"/>
    <w:rsid w:val="00673630"/>
    <w:rsid w:val="00774704"/>
    <w:rsid w:val="007A48CA"/>
    <w:rsid w:val="00850750"/>
    <w:rsid w:val="00936C55"/>
    <w:rsid w:val="009D0606"/>
    <w:rsid w:val="00A80631"/>
    <w:rsid w:val="00AC39D7"/>
    <w:rsid w:val="00AE428D"/>
    <w:rsid w:val="00B129FB"/>
    <w:rsid w:val="00CA16A9"/>
    <w:rsid w:val="00CE5975"/>
    <w:rsid w:val="00D21381"/>
    <w:rsid w:val="00D72EA5"/>
    <w:rsid w:val="00DD2308"/>
    <w:rsid w:val="00ED2C98"/>
    <w:rsid w:val="00EF7E64"/>
    <w:rsid w:val="00F47E0B"/>
    <w:rsid w:val="00F64220"/>
    <w:rsid w:val="00F73B20"/>
    <w:rsid w:val="01DF347B"/>
    <w:rsid w:val="033506A8"/>
    <w:rsid w:val="060E6623"/>
    <w:rsid w:val="0C3031EA"/>
    <w:rsid w:val="0FAC7850"/>
    <w:rsid w:val="17814796"/>
    <w:rsid w:val="18DD69F0"/>
    <w:rsid w:val="1AD141F0"/>
    <w:rsid w:val="1CC604DE"/>
    <w:rsid w:val="1FF719F1"/>
    <w:rsid w:val="20280D27"/>
    <w:rsid w:val="22337C0F"/>
    <w:rsid w:val="228D35DA"/>
    <w:rsid w:val="27A21454"/>
    <w:rsid w:val="28AC4151"/>
    <w:rsid w:val="2ED121D0"/>
    <w:rsid w:val="307A5DBB"/>
    <w:rsid w:val="31EE1B12"/>
    <w:rsid w:val="32716245"/>
    <w:rsid w:val="32E161E6"/>
    <w:rsid w:val="344E65EB"/>
    <w:rsid w:val="369E0E65"/>
    <w:rsid w:val="386D4C76"/>
    <w:rsid w:val="3A8A4D52"/>
    <w:rsid w:val="3CF106B3"/>
    <w:rsid w:val="3EC36962"/>
    <w:rsid w:val="40DA7BF6"/>
    <w:rsid w:val="40E11174"/>
    <w:rsid w:val="42372194"/>
    <w:rsid w:val="44161B53"/>
    <w:rsid w:val="44BF1DD1"/>
    <w:rsid w:val="47062A39"/>
    <w:rsid w:val="491E7B5C"/>
    <w:rsid w:val="4ADD41EA"/>
    <w:rsid w:val="4CC11441"/>
    <w:rsid w:val="4ED67D34"/>
    <w:rsid w:val="508C7F87"/>
    <w:rsid w:val="56521FD2"/>
    <w:rsid w:val="5BDF1DD3"/>
    <w:rsid w:val="5DAA504D"/>
    <w:rsid w:val="62C43C7A"/>
    <w:rsid w:val="68CF5A4F"/>
    <w:rsid w:val="69573746"/>
    <w:rsid w:val="6BDB3F4B"/>
    <w:rsid w:val="6C713669"/>
    <w:rsid w:val="6ECB0D26"/>
    <w:rsid w:val="721A5D71"/>
    <w:rsid w:val="734D03D1"/>
    <w:rsid w:val="772D120A"/>
    <w:rsid w:val="7B6A4D5E"/>
    <w:rsid w:val="7D6A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18"/>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xl65"/>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12">
    <w:name w:val="xl66"/>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
    <w:name w:val="xl67"/>
    <w:basedOn w:val="1"/>
    <w:qFormat/>
    <w:uiPriority w:val="0"/>
    <w:pPr>
      <w:widowControl/>
      <w:shd w:val="clear" w:color="000000" w:fill="FFFFFF"/>
      <w:spacing w:before="100" w:beforeAutospacing="1" w:after="100" w:afterAutospacing="1"/>
      <w:jc w:val="right"/>
      <w:textAlignment w:val="center"/>
    </w:pPr>
    <w:rPr>
      <w:rFonts w:ascii="宋体" w:hAnsi="宋体" w:cs="宋体"/>
      <w:color w:val="000000"/>
      <w:kern w:val="0"/>
      <w:sz w:val="16"/>
      <w:szCs w:val="16"/>
    </w:rPr>
  </w:style>
  <w:style w:type="paragraph" w:customStyle="1" w:styleId="14">
    <w:name w:val="xl6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5">
    <w:name w:val="xl69"/>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16">
    <w:name w:val="xl70"/>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
    <w:name w:val="xl7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8">
    <w:name w:val="xl72"/>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9">
    <w:name w:val="xl73"/>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0">
    <w:name w:val="xl74"/>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1">
    <w:name w:val="xl75"/>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2">
    <w:name w:val="xl76"/>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3">
    <w:name w:val="xl7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4">
    <w:name w:val="xl7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5">
    <w:name w:val="xl79"/>
    <w:basedOn w:val="1"/>
    <w:qFormat/>
    <w:uiPriority w:val="0"/>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26">
    <w:name w:val="xl80"/>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
    <w:name w:val="xl81"/>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8">
    <w:name w:val="xl63"/>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29">
    <w:name w:val="xl64"/>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character" w:customStyle="1" w:styleId="30">
    <w:name w:val="font21"/>
    <w:basedOn w:val="6"/>
    <w:qFormat/>
    <w:uiPriority w:val="0"/>
    <w:rPr>
      <w:rFonts w:hint="default" w:ascii="Calibri" w:hAnsi="Calibri" w:cs="Calibri"/>
      <w:color w:val="000000"/>
      <w:sz w:val="24"/>
      <w:szCs w:val="24"/>
      <w:u w:val="none"/>
    </w:rPr>
  </w:style>
  <w:style w:type="character" w:customStyle="1" w:styleId="3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1216</Words>
  <Characters>6935</Characters>
  <Lines>57</Lines>
  <Paragraphs>16</Paragraphs>
  <TotalTime>0</TotalTime>
  <ScaleCrop>false</ScaleCrop>
  <LinksUpToDate>false</LinksUpToDate>
  <CharactersWithSpaces>8135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2019-07-24T05:58:00Z</dcterms:created>
  <dc:creator>Administrator</dc:creator>
  <cp:lastModifiedBy>Administrator</cp:lastModifiedBy>
  <dcterms:modified xsi:type="dcterms:W3CDTF">2021-04-18T04:25:46Z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DE2C2892DB2644B48780007DBF7D8507</vt:lpwstr>
  </property>
</Properties>
</file>